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CC0BA4" w:rsidRDefault="00000000">
      <w:pPr>
        <w:spacing w:line="240" w:lineRule="auto"/>
        <w:jc w:val="center"/>
        <w:rPr>
          <w:b/>
          <w:sz w:val="24"/>
          <w:szCs w:val="24"/>
        </w:rPr>
      </w:pPr>
      <w:r>
        <w:rPr>
          <w:b/>
          <w:sz w:val="24"/>
          <w:szCs w:val="24"/>
        </w:rPr>
        <w:t>CONSTRUINDO UM FUTURO IGUALITÁRIO:</w:t>
      </w:r>
    </w:p>
    <w:p w14:paraId="00000002" w14:textId="77777777" w:rsidR="00CC0BA4" w:rsidRDefault="00000000">
      <w:pPr>
        <w:spacing w:line="240" w:lineRule="auto"/>
        <w:jc w:val="center"/>
        <w:rPr>
          <w:sz w:val="24"/>
          <w:szCs w:val="24"/>
        </w:rPr>
      </w:pPr>
      <w:r>
        <w:rPr>
          <w:sz w:val="24"/>
          <w:szCs w:val="24"/>
        </w:rPr>
        <w:t>A importância de assegurar uma educação antirracista no ensino básico</w:t>
      </w:r>
    </w:p>
    <w:p w14:paraId="00000003" w14:textId="77777777" w:rsidR="00CC0BA4" w:rsidRDefault="00CC0BA4">
      <w:pPr>
        <w:spacing w:line="240" w:lineRule="auto"/>
        <w:ind w:left="2835"/>
        <w:jc w:val="center"/>
        <w:rPr>
          <w:b/>
        </w:rPr>
      </w:pPr>
    </w:p>
    <w:p w14:paraId="00000004" w14:textId="77777777" w:rsidR="00CC0BA4" w:rsidRDefault="00000000">
      <w:pPr>
        <w:spacing w:line="240" w:lineRule="auto"/>
        <w:ind w:left="284"/>
        <w:jc w:val="center"/>
        <w:rPr>
          <w:b/>
        </w:rPr>
      </w:pPr>
      <w:r>
        <w:rPr>
          <w:b/>
        </w:rPr>
        <w:t>Trabalho, Formação Profissional e Luta Antirracista</w:t>
      </w:r>
    </w:p>
    <w:p w14:paraId="00000005" w14:textId="77777777" w:rsidR="00CC0BA4" w:rsidRDefault="00CC0BA4">
      <w:pPr>
        <w:spacing w:line="240" w:lineRule="auto"/>
        <w:ind w:left="284"/>
        <w:jc w:val="center"/>
        <w:rPr>
          <w:b/>
        </w:rPr>
      </w:pPr>
    </w:p>
    <w:p w14:paraId="00000006" w14:textId="77777777" w:rsidR="00CC0BA4" w:rsidRDefault="00000000">
      <w:pPr>
        <w:spacing w:line="240" w:lineRule="auto"/>
        <w:ind w:left="284"/>
        <w:jc w:val="right"/>
      </w:pPr>
      <w:r>
        <w:t>Tamires Assunção Fernandes</w:t>
      </w:r>
      <w:r>
        <w:rPr>
          <w:vertAlign w:val="superscript"/>
        </w:rPr>
        <w:footnoteReference w:id="1"/>
      </w:r>
      <w:r>
        <w:t>, (UFOP)</w:t>
      </w:r>
    </w:p>
    <w:p w14:paraId="00000007" w14:textId="77777777" w:rsidR="00CC0BA4" w:rsidRDefault="00000000">
      <w:pPr>
        <w:spacing w:line="240" w:lineRule="auto"/>
        <w:ind w:left="284"/>
        <w:jc w:val="right"/>
      </w:pPr>
      <w:r>
        <w:t xml:space="preserve">E-mail: </w:t>
      </w:r>
      <w:hyperlink r:id="rId7">
        <w:r>
          <w:rPr>
            <w:color w:val="1155CC"/>
            <w:u w:val="single"/>
          </w:rPr>
          <w:t>tamiresfernandes017@gmail.com</w:t>
        </w:r>
      </w:hyperlink>
    </w:p>
    <w:p w14:paraId="00000008" w14:textId="77777777" w:rsidR="00CC0BA4" w:rsidRDefault="00CC0BA4">
      <w:pPr>
        <w:spacing w:line="240" w:lineRule="auto"/>
        <w:ind w:left="284"/>
        <w:jc w:val="center"/>
      </w:pPr>
    </w:p>
    <w:p w14:paraId="00000009" w14:textId="77777777" w:rsidR="00CC0BA4" w:rsidRDefault="00CC0BA4">
      <w:pPr>
        <w:spacing w:line="240" w:lineRule="auto"/>
        <w:ind w:left="284"/>
        <w:jc w:val="center"/>
      </w:pPr>
    </w:p>
    <w:p w14:paraId="0000000A" w14:textId="77777777" w:rsidR="00CC0BA4" w:rsidRDefault="00000000">
      <w:pPr>
        <w:spacing w:line="240" w:lineRule="auto"/>
        <w:ind w:firstLine="2834"/>
      </w:pPr>
      <w:r>
        <w:rPr>
          <w:b/>
        </w:rPr>
        <w:t>RESUMO</w:t>
      </w:r>
    </w:p>
    <w:p w14:paraId="0000000B" w14:textId="77777777" w:rsidR="00CC0BA4" w:rsidRDefault="00000000">
      <w:pPr>
        <w:spacing w:line="240" w:lineRule="auto"/>
        <w:ind w:left="2834"/>
        <w:jc w:val="both"/>
      </w:pPr>
      <w:r>
        <w:t>O presente estudo parte da reflexão sobre a atuação do/a profissional de serviço social na política de educação. Considera-se que, tendo como um dos princípios orientadores da prática profissional a defesa das lutas pela equidade de raça, etnia, gênero e pela política de igualdade racial, se faz necessário assegurar que a educação antirracista seja um conteúdo que abarque a dinâmica educacional.</w:t>
      </w:r>
    </w:p>
    <w:p w14:paraId="0000000C" w14:textId="77777777" w:rsidR="00CC0BA4" w:rsidRDefault="00CC0BA4">
      <w:pPr>
        <w:spacing w:line="240" w:lineRule="auto"/>
      </w:pPr>
    </w:p>
    <w:p w14:paraId="0000000D" w14:textId="77777777" w:rsidR="00CC0BA4" w:rsidRDefault="00000000">
      <w:pPr>
        <w:spacing w:line="240" w:lineRule="auto"/>
        <w:ind w:left="2834"/>
        <w:jc w:val="both"/>
      </w:pPr>
      <w:r>
        <w:rPr>
          <w:b/>
        </w:rPr>
        <w:t xml:space="preserve">PALAVRAS-CHAVE: </w:t>
      </w:r>
      <w:r>
        <w:t>Política Educacional. Antirracismo. Serviço Social na Educação Básica.</w:t>
      </w:r>
    </w:p>
    <w:p w14:paraId="0000000E" w14:textId="77777777" w:rsidR="00CC0BA4" w:rsidRDefault="00CC0BA4">
      <w:pPr>
        <w:spacing w:line="240" w:lineRule="auto"/>
        <w:ind w:left="2834"/>
        <w:jc w:val="both"/>
      </w:pPr>
    </w:p>
    <w:p w14:paraId="0000000F" w14:textId="77777777" w:rsidR="00CC0BA4" w:rsidRDefault="00000000">
      <w:pPr>
        <w:spacing w:line="360" w:lineRule="auto"/>
        <w:jc w:val="both"/>
        <w:rPr>
          <w:b/>
        </w:rPr>
      </w:pPr>
      <w:r>
        <w:rPr>
          <w:b/>
        </w:rPr>
        <w:t>INTRODUÇÃO E METODOLOGIA</w:t>
      </w:r>
    </w:p>
    <w:p w14:paraId="00000010" w14:textId="77777777" w:rsidR="00CC0BA4" w:rsidRDefault="00000000">
      <w:pPr>
        <w:spacing w:line="360" w:lineRule="auto"/>
        <w:ind w:firstLine="720"/>
        <w:jc w:val="both"/>
        <w:rPr>
          <w:shd w:val="clear" w:color="auto" w:fill="F1C232"/>
        </w:rPr>
      </w:pPr>
      <w:r>
        <w:t xml:space="preserve">Uma análise de conjuntura da política educacional brasileira que visa debater a futura inserção de assistentes sociais no ambiente escolar, implica a realização de uma análise exploratória com o intuito de trazer ao plano teórico, a descoberta de novas ideias, perspectivas e hipóteses. Nesse sentido, foi utilizado o método materialista </w:t>
      </w:r>
      <w:proofErr w:type="gramStart"/>
      <w:r>
        <w:t>histórico dialético</w:t>
      </w:r>
      <w:proofErr w:type="gramEnd"/>
      <w:r>
        <w:t xml:space="preserve"> como direção </w:t>
      </w:r>
      <w:proofErr w:type="spellStart"/>
      <w:r>
        <w:t>ideopolítica</w:t>
      </w:r>
      <w:proofErr w:type="spellEnd"/>
      <w:r>
        <w:t>.</w:t>
      </w:r>
    </w:p>
    <w:p w14:paraId="00000011" w14:textId="77777777" w:rsidR="00CC0BA4" w:rsidRDefault="00000000">
      <w:pPr>
        <w:spacing w:line="360" w:lineRule="auto"/>
        <w:ind w:firstLine="435"/>
        <w:jc w:val="both"/>
      </w:pPr>
      <w:r>
        <w:t>Buscamos construir um novo universo de sentidos e significados que visam promover aspirações de novas crenças, valores e atitudes, entretanto, bem determinadas, uma vez que o serviço social por meio do seu código de ética, possui valores éticos e políticos que orientam a sua atuação e delimitam o compromisso com a classe trabalhadora e com os alunos, em qualquer instituição. Utilizamos para subsidiar a análise teórica, uma metodologia de pesquisa bibliográfica dos trabalhos construídos pelas/os profissionais do serviço social e da psicologia até o momento.</w:t>
      </w:r>
    </w:p>
    <w:p w14:paraId="00000012" w14:textId="77777777" w:rsidR="00CC0BA4" w:rsidRDefault="00000000">
      <w:pPr>
        <w:spacing w:line="360" w:lineRule="auto"/>
        <w:ind w:firstLine="720"/>
        <w:jc w:val="both"/>
      </w:pPr>
      <w:r>
        <w:t xml:space="preserve">Para uma melhor compreensão da constituição histórica e conformação do sistema educacional brasileiro, utilizamos a obra “Racismo Estrutural” de Silvio Almeida e “Dialética da Dependência” do autor Ruy Mauro Marini. Buscamos com essas obras desvelar a natureza desigual que abarca a sociedade brasileira sob a ótica do racismo, que permeia não apenas o campo </w:t>
      </w:r>
      <w:proofErr w:type="gramStart"/>
      <w:r>
        <w:t>político</w:t>
      </w:r>
      <w:proofErr w:type="gramEnd"/>
      <w:r>
        <w:t xml:space="preserve"> mas também o econômico. Nesse sentido, a relação com o capitalismo dependente é de suma importância para apreendermos como se dá essa dinâmica. No que diz respeito à educação e o seu papel desenvolvido na sociedade contemporânea, recorremos às interpretações realizadas por </w:t>
      </w:r>
      <w:r>
        <w:lastRenderedPageBreak/>
        <w:t xml:space="preserve">István </w:t>
      </w:r>
      <w:proofErr w:type="spellStart"/>
      <w:r>
        <w:t>Mészáros</w:t>
      </w:r>
      <w:proofErr w:type="spellEnd"/>
      <w:r>
        <w:t xml:space="preserve"> na obra “A Educação para Além do Capital”, bem como as contribuições de </w:t>
      </w:r>
      <w:proofErr w:type="spellStart"/>
      <w:r>
        <w:t>Antonio</w:t>
      </w:r>
      <w:proofErr w:type="spellEnd"/>
      <w:r>
        <w:t xml:space="preserve"> Gramsci em “Os Intelectuais e a Organização da Cultura".</w:t>
      </w:r>
    </w:p>
    <w:p w14:paraId="00000013" w14:textId="77777777" w:rsidR="00CC0BA4" w:rsidRDefault="00CC0BA4">
      <w:pPr>
        <w:spacing w:line="360" w:lineRule="auto"/>
        <w:jc w:val="both"/>
      </w:pPr>
    </w:p>
    <w:p w14:paraId="00000014" w14:textId="77777777" w:rsidR="00CC0BA4" w:rsidRDefault="00000000">
      <w:pPr>
        <w:spacing w:line="360" w:lineRule="auto"/>
        <w:jc w:val="both"/>
        <w:rPr>
          <w:b/>
        </w:rPr>
      </w:pPr>
      <w:r>
        <w:rPr>
          <w:b/>
        </w:rPr>
        <w:t xml:space="preserve">RESULTADOS </w:t>
      </w:r>
    </w:p>
    <w:p w14:paraId="00000015" w14:textId="77777777" w:rsidR="00CC0BA4" w:rsidRDefault="00000000">
      <w:pPr>
        <w:spacing w:line="360" w:lineRule="auto"/>
        <w:jc w:val="both"/>
      </w:pPr>
      <w:r>
        <w:rPr>
          <w:b/>
        </w:rPr>
        <w:t>O Serviço Social na educação básica: desafios contemporâneos</w:t>
      </w:r>
    </w:p>
    <w:p w14:paraId="00000016" w14:textId="77777777" w:rsidR="00CC0BA4" w:rsidRDefault="00000000">
      <w:pPr>
        <w:spacing w:line="360" w:lineRule="auto"/>
        <w:ind w:firstLine="435"/>
        <w:jc w:val="both"/>
      </w:pPr>
      <w:r>
        <w:t xml:space="preserve">A educação formal ancorada numa sociabilidade capitalista, serve a objetivos pré-determinados. Nesse sentido, </w:t>
      </w:r>
      <w:proofErr w:type="spellStart"/>
      <w:r>
        <w:t>Mészaros</w:t>
      </w:r>
      <w:proofErr w:type="spellEnd"/>
      <w:r>
        <w:t xml:space="preserve"> aponta como a escola é uma das instituições que contribui e desenvolve estratégias </w:t>
      </w:r>
      <w:proofErr w:type="gramStart"/>
      <w:r>
        <w:t>cujo o</w:t>
      </w:r>
      <w:proofErr w:type="gramEnd"/>
      <w:r>
        <w:t xml:space="preserve"> objetivo é a internalização de valores que acompanharão a percepção que o indivíduo terá sobre si na sociedade, sua posição na hierarquia social, como também influenciará suas expectativas pessoais e determinará as condutas “certas” a serem seguidas. Estas táticas asseguram que as relações de produção e reprodução do capital se perpetuem de forma generalizada.</w:t>
      </w:r>
    </w:p>
    <w:p w14:paraId="00000017" w14:textId="77777777" w:rsidR="00CC0BA4" w:rsidRDefault="00000000">
      <w:pPr>
        <w:spacing w:line="240" w:lineRule="auto"/>
        <w:ind w:left="2834"/>
        <w:jc w:val="both"/>
        <w:rPr>
          <w:sz w:val="20"/>
          <w:szCs w:val="20"/>
        </w:rPr>
      </w:pPr>
      <w:r>
        <w:rPr>
          <w:sz w:val="20"/>
          <w:szCs w:val="20"/>
        </w:rPr>
        <w:t>As instituições formais de educação certamente são uma parte importante do sistema global de internalização. Mas apenas uma parte. Quer os indivíduos participem ou não - por mais ou menos tempo, mas sempre em um número de anos bastante limitado - das instituições formais de educação, eles devem ser induzidos a uma aceitação ativa (ou mais ou menos resignada) dos princípios reprodutivos orientadores dominantes na própria sociedade, adequados a sua posição na ordem social, e de acordo com as tarefas reprodutivas que lhes foram atribuídas (MÉSZAROS, 2008, p. 35).</w:t>
      </w:r>
    </w:p>
    <w:p w14:paraId="00000018" w14:textId="77777777" w:rsidR="00CC0BA4" w:rsidRDefault="00CC0BA4">
      <w:pPr>
        <w:spacing w:line="240" w:lineRule="auto"/>
        <w:ind w:left="2834"/>
        <w:jc w:val="both"/>
        <w:rPr>
          <w:sz w:val="18"/>
          <w:szCs w:val="18"/>
        </w:rPr>
      </w:pPr>
    </w:p>
    <w:p w14:paraId="00000019" w14:textId="77777777" w:rsidR="00CC0BA4" w:rsidRDefault="00000000">
      <w:pPr>
        <w:spacing w:line="360" w:lineRule="auto"/>
        <w:ind w:firstLine="720"/>
        <w:jc w:val="both"/>
        <w:rPr>
          <w:sz w:val="18"/>
          <w:szCs w:val="18"/>
        </w:rPr>
      </w:pPr>
      <w:r>
        <w:t>Nesse sentido, compreender a escola como um meio em que valores são internalizados, nos leva a questionar, levando em consideração a nossa particularidade sócio-histórica, quais valores estão sendo estimulados e reproduzidos nas nossas escolas. Silvio Almeida, em diálogo com a visão estrutural do racismo e da economia, demonstra que o capitalismo necessita de condições subjetivas, além das objetivas, para se perpetuar. Dessa maneira, ressalta:</w:t>
      </w:r>
    </w:p>
    <w:p w14:paraId="0000001A" w14:textId="77777777" w:rsidR="00CC0BA4" w:rsidRDefault="00000000">
      <w:pPr>
        <w:spacing w:line="240" w:lineRule="auto"/>
        <w:ind w:left="2834"/>
        <w:jc w:val="both"/>
        <w:rPr>
          <w:sz w:val="20"/>
          <w:szCs w:val="20"/>
        </w:rPr>
      </w:pPr>
      <w:r>
        <w:rPr>
          <w:sz w:val="20"/>
          <w:szCs w:val="20"/>
        </w:rPr>
        <w:t xml:space="preserve">Com efeito, os indivíduos precisam ser formados, subjetivamente constituídos, para reproduzir em seus atos concretos as relações sociais, cuja forma básica é a troca mercantil. Nisso, resulta o fato de que um indivíduo precisa tornar-se um trabalhador ou um capitalista, ou seja, precisa naturalizar a separação entre Estado e sociedade civil, sua condição social e seu pertencimento a determinada classe ou grupo. Esse processo, muitas vezes, passa pela incorporação de preconceitos e de discriminação que serão atualizados para funcionar como modos de subjetivação no interior do capitalismo (ALMEIDA, 2019, p. 103). </w:t>
      </w:r>
    </w:p>
    <w:p w14:paraId="0000001B" w14:textId="77777777" w:rsidR="00CC0BA4" w:rsidRDefault="00CC0BA4">
      <w:pPr>
        <w:spacing w:line="240" w:lineRule="auto"/>
        <w:ind w:left="2834"/>
        <w:jc w:val="both"/>
        <w:rPr>
          <w:sz w:val="20"/>
          <w:szCs w:val="20"/>
        </w:rPr>
      </w:pPr>
    </w:p>
    <w:p w14:paraId="0000001C" w14:textId="77777777" w:rsidR="00CC0BA4" w:rsidRDefault="00000000">
      <w:pPr>
        <w:spacing w:line="360" w:lineRule="auto"/>
        <w:ind w:firstLine="720"/>
        <w:jc w:val="both"/>
      </w:pPr>
      <w:r>
        <w:t xml:space="preserve">Falar sobre racismo estrutural implicaria, portanto, discutir sobre a economia, a política e a subjetividade tanto individual do negro como também a coletiva propagada pelas instituições, uma vez que estas áreas conversam e se articulam no plano material da sociedade conformando uma totalidade. Dessa maneira, destaca-se a exigência de se resgatar e compreender o solo histórico do país, para que haja uma assimilação da particularidade da nossa formação social de forma </w:t>
      </w:r>
      <w:r>
        <w:lastRenderedPageBreak/>
        <w:t>crítica. Pois é inegável que ainda persistem conceitos no terreno da moral e dos valores que se mostram preconceituosos, opressores e constrangedores, os quais se perpetuam de forma naturalizada pois não há um diálogo frequente que problematize e incentive uma reflexão sobre essa herança que ainda se reflete de forma explícita em diversos âmbitos da vida e complexo social, sobretudo das pessoas negras.</w:t>
      </w:r>
    </w:p>
    <w:p w14:paraId="0000001D" w14:textId="77777777" w:rsidR="00CC0BA4" w:rsidRDefault="00000000">
      <w:pPr>
        <w:spacing w:line="360" w:lineRule="auto"/>
        <w:ind w:firstLine="720"/>
        <w:jc w:val="both"/>
      </w:pPr>
      <w:r>
        <w:t>Adentrando na discussão que traz o campo econômico como pauta para se refletir sobre a gênese colonial, compreende-se que vivemos no Brasil uma economia baseada no capitalismo dependente, isso quer dizer que “entendida como uma relação de subordinação entre nações formalmente independentes, em cujo marco as relações de produção das nações subordinadas são modificadas ou recriadas para assegurar a reprodução ampliada da dependência” (Marini, 2005, p. 4). Nesse sentido, Marini afirma que a superexploração do trabalho é uma prática intrínseca à essa dinâmica de submissão.</w:t>
      </w:r>
    </w:p>
    <w:p w14:paraId="0000001E" w14:textId="77777777" w:rsidR="00CC0BA4" w:rsidRDefault="00000000">
      <w:pPr>
        <w:spacing w:line="360" w:lineRule="auto"/>
        <w:ind w:firstLine="720"/>
        <w:jc w:val="both"/>
      </w:pPr>
      <w:r>
        <w:t>Tendo em vista este cenário, uma pesquisa rápida nos revela a cor e a classe social das pessoas que ocupam os cargos de maior precariedade, bem como os de menor remuneração. Os baixos níveis de escolaridade acompanham esta mesma camada da população que por anos tiveram seus direitos cerceados em virtude de uma estrutura criada para que as relações capitalistas pudessem estabelecer suas raízes. Silvio Almeida, traz ainda mais dois elementos no que diz respeito à economia, demonstrando como o racismo se materializa de forma objetiva nas políticas econômicas exemplificadas nas tributações:</w:t>
      </w:r>
    </w:p>
    <w:p w14:paraId="0000001F" w14:textId="77777777" w:rsidR="00CC0BA4" w:rsidRDefault="00000000">
      <w:pPr>
        <w:spacing w:line="240" w:lineRule="auto"/>
        <w:ind w:left="2834"/>
        <w:jc w:val="both"/>
        <w:rPr>
          <w:sz w:val="20"/>
          <w:szCs w:val="20"/>
        </w:rPr>
      </w:pPr>
      <w:r>
        <w:rPr>
          <w:sz w:val="20"/>
          <w:szCs w:val="20"/>
        </w:rPr>
        <w:t>Em países como o Brasil, em que a tributação é feita primordialmente sobre salário e consumo – que pesa principalmente sobre os mais pobres e os assalariados –, em detrimento da tributação sobre patrimônio e renda, que incidiria sobre os mais ricos –, a carga tributária torna-se um fator de empobrecimento da população negra, especialmente das mulheres, visto que estas são as que recebem os menores salários (ALMEIDA, 2019, p. 104 - 105).</w:t>
      </w:r>
    </w:p>
    <w:p w14:paraId="00000020" w14:textId="77777777" w:rsidR="00CC0BA4" w:rsidRDefault="00CC0BA4">
      <w:pPr>
        <w:spacing w:line="240" w:lineRule="auto"/>
        <w:ind w:left="2834"/>
        <w:jc w:val="both"/>
        <w:rPr>
          <w:sz w:val="20"/>
          <w:szCs w:val="20"/>
        </w:rPr>
      </w:pPr>
    </w:p>
    <w:p w14:paraId="00000021" w14:textId="77777777" w:rsidR="00CC0BA4" w:rsidRDefault="00000000">
      <w:pPr>
        <w:spacing w:line="360" w:lineRule="auto"/>
        <w:ind w:firstLine="720"/>
        <w:jc w:val="both"/>
      </w:pPr>
      <w:r>
        <w:t>De forma subjetiva, Almeida assiná-la que “o racismo faz com que a pobreza seja ideologicamente incorporada quase que como uma condição “biológica” de negros e indígenas” (2019, p. 105) esta percepção faz com que naturalizemos, de forma coletiva, os trabalhos precários, desprotegidos e informais como pertencentes as pessoas que se identificam com estes grupos sociais.</w:t>
      </w:r>
    </w:p>
    <w:p w14:paraId="00000022" w14:textId="77777777" w:rsidR="00CC0BA4" w:rsidRDefault="00000000">
      <w:pPr>
        <w:spacing w:line="360" w:lineRule="auto"/>
        <w:ind w:firstLine="720"/>
        <w:jc w:val="both"/>
      </w:pPr>
      <w:r>
        <w:t xml:space="preserve">Em relação à política, o autor destaca que o Estado desempenha um papel fundamental, “uma vez que o Estado é a forma política do mundo contemporâneo, o racismo não poderia se reproduzir se, ao mesmo tempo, não alimentasse e fosse também alimentado pelas estruturas estatais” (Almeida, 2019, p. 54). Segundo o autor, é por meio do Estado que as pessoas são </w:t>
      </w:r>
      <w:r>
        <w:lastRenderedPageBreak/>
        <w:t xml:space="preserve">classificadas em grupos e classes, uma vez que na sociedade capitalista, a organização política não é exercida de modo direto pelos grandes </w:t>
      </w:r>
      <w:proofErr w:type="gramStart"/>
      <w:r>
        <w:t>proprietários</w:t>
      </w:r>
      <w:proofErr w:type="gramEnd"/>
      <w:r>
        <w:t xml:space="preserve"> mas sim pelo Estado.</w:t>
      </w:r>
    </w:p>
    <w:p w14:paraId="00000023" w14:textId="77777777" w:rsidR="00CC0BA4" w:rsidRDefault="00000000">
      <w:pPr>
        <w:spacing w:line="240" w:lineRule="auto"/>
        <w:ind w:left="2834"/>
        <w:jc w:val="both"/>
        <w:rPr>
          <w:sz w:val="20"/>
          <w:szCs w:val="20"/>
        </w:rPr>
      </w:pPr>
      <w:r>
        <w:rPr>
          <w:sz w:val="20"/>
          <w:szCs w:val="20"/>
        </w:rPr>
        <w:t>Para proteger a liberdade individual, a igualdade formal e a propriedade privada, o Estado terá de manter um delicado equilíbrio em sua atuação, que exige preservar a unidade em uma sociedade estruturalmente individualista e atomizada, que tende a inúmeros conflitos e, ao mesmo tempo, a fim de não comprometer o imaginário da igualdade de todos perante a lei, “aparecer” como um poder “impessoal” e “imparcial” e acima dos conflitos individuais (ALMEIDA, 2019, p. 58 - 59).</w:t>
      </w:r>
    </w:p>
    <w:p w14:paraId="00000024" w14:textId="77777777" w:rsidR="00CC0BA4" w:rsidRDefault="00CC0BA4">
      <w:pPr>
        <w:spacing w:line="360" w:lineRule="auto"/>
        <w:jc w:val="both"/>
      </w:pPr>
    </w:p>
    <w:p w14:paraId="00000025" w14:textId="77777777" w:rsidR="00CC0BA4" w:rsidRDefault="00000000">
      <w:pPr>
        <w:spacing w:line="360" w:lineRule="auto"/>
        <w:ind w:firstLine="720"/>
        <w:jc w:val="both"/>
      </w:pPr>
      <w:r>
        <w:t>Esta forma “imparcial” e “impessoal” que o Estado assume, por conseguinte, exigirá dele a construção de um discurso ideológico capaz de apaziguar as contradições que emergem das classes antagônicas. No Brasil, esse discurso se tornou visível no mito da democracia racial, no incentivo à meritocracia, como também no racismo como forma de naturalizar a desigualdade social. Lélia González descreve que “como todo mito, o da democracia racial oculta algo para além daquilo que mostra” (1984, p. 228). Por isso, desvelar o que ele oculta é fundamental para se alcançar a raiz dos dilemas raciais no Brasil.</w:t>
      </w:r>
    </w:p>
    <w:p w14:paraId="00000026" w14:textId="77777777" w:rsidR="00CC0BA4" w:rsidRDefault="00000000">
      <w:pPr>
        <w:spacing w:line="360" w:lineRule="auto"/>
        <w:ind w:firstLine="720"/>
        <w:jc w:val="both"/>
      </w:pPr>
      <w:r>
        <w:t xml:space="preserve">Durante o percurso colonial, a cultura africana reelaborada numa cultura afro-brasileira resistiu enquanto pôde para manter suas dinâmicas internas. Todavia, Clóvis Moura destaca que, em determinado momento, a luta travada pelos negros para preservar sua identidade étnica começou a entrar em crise. A fragmentação dessa identidade resulta na perda da percepção e reconhecimento das suas origens ancestrais, dessa maneira, a consciência de </w:t>
      </w:r>
      <w:proofErr w:type="spellStart"/>
      <w:proofErr w:type="gramStart"/>
      <w:r>
        <w:t>auto-afirmação</w:t>
      </w:r>
      <w:proofErr w:type="spellEnd"/>
      <w:proofErr w:type="gramEnd"/>
      <w:r>
        <w:t xml:space="preserve"> social e cultural fica comprometida.</w:t>
      </w:r>
    </w:p>
    <w:p w14:paraId="00000027" w14:textId="77777777" w:rsidR="00CC0BA4" w:rsidRDefault="00000000">
      <w:pPr>
        <w:spacing w:line="360" w:lineRule="auto"/>
        <w:ind w:firstLine="720"/>
        <w:jc w:val="both"/>
      </w:pPr>
      <w:r>
        <w:t>Nessa perspectiva, a alienação colonial se mostra de uma forma tão violenta e extrema que é capaz de impelir que os indivíduos negros busquem se afirmar em uma outra identidade na qual “procuram identificar-se simbolicamente com o tipo mais aproximado do branco. Com isto, procuram refugiar-se em uma identidade simbólica e distorcida, como se olhassem em um espelho deformante” (Moura, 2020, p. 211). Nesse sentido, o letramento racial, é uma prática que pode proporcionar ao indivíduo negro os elementos necessários para se questionar a dinâmica neocolonial como também sua autoconsciência numa sociedade que possui em sua estrutura o racismo velado.</w:t>
      </w:r>
    </w:p>
    <w:p w14:paraId="00000028" w14:textId="77777777" w:rsidR="00CC0BA4" w:rsidRDefault="00000000">
      <w:pPr>
        <w:spacing w:line="360" w:lineRule="auto"/>
        <w:ind w:firstLine="720"/>
        <w:jc w:val="both"/>
      </w:pPr>
      <w:r>
        <w:t xml:space="preserve">À vista disso, resgatando a bandeira de luta em defesa da ética e direitos humanos, construída coletivamente pelo conjunto CFESS-CRESS onde retrata o posicionamento contrário ao racismo e em defesa das lutas pela equidade de raça, etnia, gênero e pela política de igualdade racial, como direção ético-política da profissão, evidenciamos o comprometimento em defesa de </w:t>
      </w:r>
      <w:r>
        <w:lastRenderedPageBreak/>
        <w:t xml:space="preserve">uma educação pública de qualidade, inclusiva, emancipatória e principalmente antirracista nas instituições. </w:t>
      </w:r>
    </w:p>
    <w:p w14:paraId="00000029" w14:textId="77777777" w:rsidR="00CC0BA4" w:rsidRDefault="00CC0BA4">
      <w:pPr>
        <w:spacing w:line="360" w:lineRule="auto"/>
        <w:ind w:firstLine="720"/>
        <w:jc w:val="both"/>
      </w:pPr>
    </w:p>
    <w:p w14:paraId="0000002A" w14:textId="77777777" w:rsidR="00CC0BA4" w:rsidRDefault="00000000">
      <w:pPr>
        <w:spacing w:line="360" w:lineRule="auto"/>
        <w:jc w:val="both"/>
      </w:pPr>
      <w:r>
        <w:rPr>
          <w:b/>
        </w:rPr>
        <w:t xml:space="preserve">CONSIDERAÇÕES FINAIS </w:t>
      </w:r>
    </w:p>
    <w:p w14:paraId="0000002B" w14:textId="77777777" w:rsidR="00CC0BA4" w:rsidRDefault="00000000">
      <w:pPr>
        <w:spacing w:line="360" w:lineRule="auto"/>
        <w:ind w:firstLine="720"/>
        <w:jc w:val="both"/>
      </w:pPr>
      <w:r>
        <w:t xml:space="preserve"> O direito do acesso a uma educação pública data de poucos anos atrás, e no que tange a população negra, data de ainda menos tempo. Além disso, cabe destacar, que só o acesso não viabiliza a permanência, dados estatísticos demonstram que a evasão escolar está majoritariamente materializada na juventude negra e periférica, isso nos leva a questionar o que está por trás deste fenômeno, sendo necessário sair do campo da aparência e buscar desvelar a sua essência. Nesse sentido, o estudo demonstrou que esse caminho inverso se encontra principalmente na interpretação da nossa gênese colonial, como também na busca da revisão das narrativas históricas.</w:t>
      </w:r>
    </w:p>
    <w:p w14:paraId="0000002C" w14:textId="77777777" w:rsidR="00CC0BA4" w:rsidRDefault="00000000">
      <w:pPr>
        <w:spacing w:line="360" w:lineRule="auto"/>
        <w:ind w:firstLine="720"/>
        <w:jc w:val="both"/>
      </w:pPr>
      <w:r>
        <w:t xml:space="preserve">Assim como Marx argumenta que são “os indivíduos que fazem a história”, eles precisam ao menos estarem em condições de fazerem história, nesse sentido, a dinâmica material da realidade nos revela quem são os indivíduos que possuem as condições mais precárias de subsistência, o que por conseguinte, interfere na sua condição de “fazer história”. Para mais, demonstramos a importância de assegurar que a educação antirracista seja um direito assegurado pelo profissional de serviço social que atuará no âmbito da Política de Educação. Uma vez que este debate não se conforma apenas como o único caminho rumo </w:t>
      </w:r>
      <w:proofErr w:type="gramStart"/>
      <w:r>
        <w:t>à</w:t>
      </w:r>
      <w:proofErr w:type="gramEnd"/>
      <w:r>
        <w:t xml:space="preserve"> uma nova realidade social, mas sem dúvidas contribui de sobremaneira para o fortalecimento de uma contra hegemonia racista. </w:t>
      </w:r>
    </w:p>
    <w:p w14:paraId="0000002D" w14:textId="77777777" w:rsidR="00CC0BA4" w:rsidRDefault="00CC0BA4">
      <w:pPr>
        <w:spacing w:line="360" w:lineRule="auto"/>
        <w:ind w:firstLine="720"/>
        <w:jc w:val="both"/>
      </w:pPr>
    </w:p>
    <w:p w14:paraId="0000002E" w14:textId="77777777" w:rsidR="00CC0BA4" w:rsidRDefault="00000000">
      <w:pPr>
        <w:spacing w:line="360" w:lineRule="auto"/>
      </w:pPr>
      <w:r>
        <w:rPr>
          <w:b/>
        </w:rPr>
        <w:t>REFERÊNCIAS</w:t>
      </w:r>
    </w:p>
    <w:p w14:paraId="0000002F" w14:textId="77777777" w:rsidR="00CC0BA4" w:rsidRDefault="00000000">
      <w:pPr>
        <w:spacing w:line="360" w:lineRule="auto"/>
      </w:pPr>
      <w:r>
        <w:t xml:space="preserve">ALMEIDA, Silvio Luiz. </w:t>
      </w:r>
      <w:r>
        <w:rPr>
          <w:b/>
        </w:rPr>
        <w:t>Racismo Estrutural</w:t>
      </w:r>
      <w:r>
        <w:t xml:space="preserve">. São </w:t>
      </w:r>
      <w:proofErr w:type="gramStart"/>
      <w:r>
        <w:t>Paulo :</w:t>
      </w:r>
      <w:proofErr w:type="gramEnd"/>
      <w:r>
        <w:t xml:space="preserve"> Sueli </w:t>
      </w:r>
      <w:proofErr w:type="gramStart"/>
      <w:r>
        <w:t>Carneiro ;</w:t>
      </w:r>
      <w:proofErr w:type="gramEnd"/>
      <w:r>
        <w:t xml:space="preserve"> Pólen, 2019. </w:t>
      </w:r>
    </w:p>
    <w:p w14:paraId="00000030" w14:textId="77777777" w:rsidR="00CC0BA4" w:rsidRDefault="00000000">
      <w:pPr>
        <w:spacing w:line="360" w:lineRule="auto"/>
      </w:pPr>
      <w:r>
        <w:t xml:space="preserve">GONZÁLEZ, Lélia. </w:t>
      </w:r>
      <w:r>
        <w:rPr>
          <w:b/>
        </w:rPr>
        <w:t>Racismo e Sexismo na Cultura Brasileira</w:t>
      </w:r>
      <w:r>
        <w:t xml:space="preserve">. Revista Ciências Sociais Hoje, </w:t>
      </w:r>
      <w:proofErr w:type="spellStart"/>
      <w:r>
        <w:t>Anpocs</w:t>
      </w:r>
      <w:proofErr w:type="spellEnd"/>
      <w:r>
        <w:t>, 1984, p. 223-244.</w:t>
      </w:r>
    </w:p>
    <w:p w14:paraId="00000031" w14:textId="77777777" w:rsidR="00CC0BA4" w:rsidRDefault="00000000">
      <w:pPr>
        <w:spacing w:line="360" w:lineRule="auto"/>
      </w:pPr>
      <w:r>
        <w:t xml:space="preserve">MÉSZÁROS, István. </w:t>
      </w:r>
      <w:r>
        <w:rPr>
          <w:b/>
        </w:rPr>
        <w:t>A educação para além do capital</w:t>
      </w:r>
      <w:r>
        <w:t>. 2.ed. São Paulo: Boitempo, 2008.</w:t>
      </w:r>
    </w:p>
    <w:p w14:paraId="00000032" w14:textId="77777777" w:rsidR="00CC0BA4" w:rsidRDefault="00000000">
      <w:pPr>
        <w:spacing w:line="360" w:lineRule="auto"/>
      </w:pPr>
      <w:r>
        <w:t xml:space="preserve">MOURA, Clóvis. </w:t>
      </w:r>
      <w:r>
        <w:rPr>
          <w:b/>
        </w:rPr>
        <w:t>Dialética Radical do Brasil Negro</w:t>
      </w:r>
      <w:r>
        <w:t>. 3 ed. São Paulo, Anita Garibaldi, 2020.</w:t>
      </w:r>
    </w:p>
    <w:sectPr w:rsidR="00CC0BA4">
      <w:headerReference w:type="default" r:id="rId8"/>
      <w:footerReference w:type="default" r:id="rId9"/>
      <w:pgSz w:w="11909" w:h="16834"/>
      <w:pgMar w:top="2834" w:right="1133" w:bottom="1133" w:left="1133"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9A871" w14:textId="77777777" w:rsidR="007170A7" w:rsidRDefault="007170A7">
      <w:pPr>
        <w:spacing w:line="240" w:lineRule="auto"/>
      </w:pPr>
      <w:r>
        <w:separator/>
      </w:r>
    </w:p>
  </w:endnote>
  <w:endnote w:type="continuationSeparator" w:id="0">
    <w:p w14:paraId="0D028F8D" w14:textId="77777777" w:rsidR="007170A7" w:rsidRDefault="007170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4" w14:textId="77777777" w:rsidR="00CC0BA4" w:rsidRDefault="00CC0BA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B9BD9" w14:textId="77777777" w:rsidR="007170A7" w:rsidRDefault="007170A7">
      <w:pPr>
        <w:spacing w:line="240" w:lineRule="auto"/>
      </w:pPr>
      <w:r>
        <w:separator/>
      </w:r>
    </w:p>
  </w:footnote>
  <w:footnote w:type="continuationSeparator" w:id="0">
    <w:p w14:paraId="6EB7A906" w14:textId="77777777" w:rsidR="007170A7" w:rsidRDefault="007170A7">
      <w:pPr>
        <w:spacing w:line="240" w:lineRule="auto"/>
      </w:pPr>
      <w:r>
        <w:continuationSeparator/>
      </w:r>
    </w:p>
  </w:footnote>
  <w:footnote w:id="1">
    <w:p w14:paraId="00000035" w14:textId="77777777" w:rsidR="00CC0BA4" w:rsidRDefault="00000000">
      <w:pPr>
        <w:spacing w:line="240" w:lineRule="auto"/>
        <w:rPr>
          <w:sz w:val="20"/>
          <w:szCs w:val="20"/>
        </w:rPr>
      </w:pPr>
      <w:r>
        <w:rPr>
          <w:vertAlign w:val="superscript"/>
        </w:rPr>
        <w:footnoteRef/>
      </w:r>
      <w:r>
        <w:rPr>
          <w:sz w:val="20"/>
          <w:szCs w:val="20"/>
        </w:rPr>
        <w:t xml:space="preserve"> Graduanda em Serviço Social pela Universidade Federal de Ouro Preto (UFOP)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3" w14:textId="77777777" w:rsidR="00CC0BA4" w:rsidRDefault="00000000">
    <w:r>
      <w:pict w14:anchorId="63D8E7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margin-left:-56.8pt;margin-top:-142.1pt;width:601.2pt;height:849.75pt;z-index:-251658752;mso-position-horizontal:absolute;mso-position-horizontal-relative:margin;mso-position-vertical:absolute;mso-position-vertical-relative:margin">
          <v:imagedata r:id="rId1" o:title="image1"/>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BA4"/>
    <w:rsid w:val="000A4438"/>
    <w:rsid w:val="00590FD2"/>
    <w:rsid w:val="007170A7"/>
    <w:rsid w:val="00C62C11"/>
    <w:rsid w:val="00CC0BA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9E6A3CC7-302B-486A-9F3E-D7FEF5C0E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amiresfernandes017@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wXxncqOIcQr/sRaXKqloOJ02yA==">CgMxLjA4AHIhMWlOTlZORWNFQjEyN21mZG9GRGE0OHRucWVpYjRMTjds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1988</Words>
  <Characters>10740</Characters>
  <Application>Microsoft Office Word</Application>
  <DocSecurity>0</DocSecurity>
  <Lines>89</Lines>
  <Paragraphs>25</Paragraphs>
  <ScaleCrop>false</ScaleCrop>
  <Company/>
  <LinksUpToDate>false</LinksUpToDate>
  <CharactersWithSpaces>12703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Eugenia Magna Broseguini Keys</dc:creator>
  <cp:lastModifiedBy>Eugenia Magna Broseguini Keys</cp:lastModifiedBy>
  <cp:revision>2</cp:revision>
  <dcterms:created xsi:type="dcterms:W3CDTF">2025-07-13T04:42:00Z</dcterms:created>
  <dcterms:modified xsi:type="dcterms:W3CDTF">2025-07-13T04:42:00Z</dcterms:modified>
</cp:coreProperties>
</file>