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56D77" w:rsidRDefault="00B56D77">
      <w:pPr>
        <w:keepNext/>
        <w:rPr>
          <w:b/>
          <w:sz w:val="24"/>
          <w:szCs w:val="24"/>
        </w:rPr>
      </w:pPr>
    </w:p>
    <w:p w14:paraId="00000002" w14:textId="77777777" w:rsidR="00B56D77" w:rsidRDefault="00000000">
      <w:pPr>
        <w:keepNext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FUNÇÃO SOCIOPOLÍTICA DO RAP NA DENÚNCIA DAS DESIGUALDADES RACIAIS E DE GÊNERO</w:t>
      </w:r>
    </w:p>
    <w:p w14:paraId="00000003" w14:textId="77777777" w:rsidR="00B56D77" w:rsidRDefault="00B56D77">
      <w:pPr>
        <w:jc w:val="center"/>
      </w:pPr>
    </w:p>
    <w:p w14:paraId="00000004" w14:textId="77777777" w:rsidR="00B56D77" w:rsidRDefault="00000000">
      <w:pPr>
        <w:spacing w:after="200"/>
        <w:jc w:val="center"/>
      </w:pPr>
      <w:r>
        <w:t>Sessão temática 01 - Questão social e questão étinico-racial</w:t>
      </w:r>
    </w:p>
    <w:p w14:paraId="00000005" w14:textId="77777777" w:rsidR="00B56D77" w:rsidRDefault="00B56D77">
      <w:pPr>
        <w:spacing w:after="200"/>
        <w:jc w:val="center"/>
      </w:pPr>
    </w:p>
    <w:p w14:paraId="00000006" w14:textId="77777777" w:rsidR="00B56D77" w:rsidRDefault="00000000">
      <w:pPr>
        <w:ind w:left="284"/>
        <w:jc w:val="right"/>
        <w:rPr>
          <w:vertAlign w:val="superscript"/>
        </w:rPr>
      </w:pPr>
      <w:r>
        <w:t xml:space="preserve">Carlos Daniel da Silva Vieira (Universidade federal de Viçosa) </w:t>
      </w:r>
      <w:r>
        <w:rPr>
          <w:vertAlign w:val="superscript"/>
        </w:rPr>
        <w:t>1</w:t>
      </w:r>
    </w:p>
    <w:p w14:paraId="00000007" w14:textId="77777777" w:rsidR="00B56D77" w:rsidRDefault="00000000">
      <w:pPr>
        <w:ind w:left="284"/>
        <w:jc w:val="right"/>
        <w:rPr>
          <w:rFonts w:ascii="Roboto" w:eastAsia="Roboto" w:hAnsi="Roboto" w:cs="Roboto"/>
          <w:i/>
          <w:color w:val="1F1F1F"/>
          <w:sz w:val="21"/>
          <w:szCs w:val="21"/>
          <w:shd w:val="clear" w:color="auto" w:fill="E9EEF6"/>
        </w:rPr>
      </w:pPr>
      <w:r>
        <w:rPr>
          <w:i/>
        </w:rPr>
        <w:t>carlos.vieira@ufv.br</w:t>
      </w:r>
    </w:p>
    <w:p w14:paraId="00000008" w14:textId="77777777" w:rsidR="00B56D77" w:rsidRDefault="00000000">
      <w:pPr>
        <w:ind w:left="284"/>
        <w:jc w:val="right"/>
        <w:rPr>
          <w:vertAlign w:val="superscript"/>
        </w:rPr>
      </w:pPr>
      <w:r>
        <w:rPr>
          <w:i/>
        </w:rPr>
        <w:t>Luana Gonçalves Pereira</w:t>
      </w:r>
      <w:r>
        <w:t xml:space="preserve"> (Universidade Federal de Viçosa)</w:t>
      </w:r>
      <w:r>
        <w:rPr>
          <w:vertAlign w:val="superscript"/>
        </w:rPr>
        <w:t>2</w:t>
      </w:r>
    </w:p>
    <w:p w14:paraId="00000009" w14:textId="77777777" w:rsidR="00B56D77" w:rsidRDefault="00000000">
      <w:pPr>
        <w:ind w:left="284"/>
        <w:jc w:val="right"/>
        <w:rPr>
          <w:i/>
        </w:rPr>
      </w:pPr>
      <w:r>
        <w:rPr>
          <w:i/>
        </w:rPr>
        <w:t>luana.pereira@ufv.br</w:t>
      </w:r>
    </w:p>
    <w:p w14:paraId="0000000A" w14:textId="77777777" w:rsidR="00B56D77" w:rsidRDefault="00B56D77">
      <w:pPr>
        <w:ind w:left="284"/>
        <w:jc w:val="right"/>
        <w:rPr>
          <w:i/>
        </w:rPr>
      </w:pPr>
    </w:p>
    <w:p w14:paraId="0000000B" w14:textId="77777777" w:rsidR="00B56D77" w:rsidRDefault="00000000">
      <w:pPr>
        <w:jc w:val="center"/>
      </w:pPr>
      <w:r>
        <w:t xml:space="preserve"> </w:t>
      </w:r>
    </w:p>
    <w:p w14:paraId="0000000C" w14:textId="77777777" w:rsidR="00B56D77" w:rsidRDefault="00000000">
      <w:pPr>
        <w:ind w:left="2835"/>
        <w:rPr>
          <w:b/>
        </w:rPr>
      </w:pPr>
      <w:r>
        <w:rPr>
          <w:b/>
        </w:rPr>
        <w:t>RESUMO</w:t>
      </w:r>
    </w:p>
    <w:p w14:paraId="0000000D" w14:textId="77777777" w:rsidR="00B56D77" w:rsidRDefault="00000000">
      <w:pPr>
        <w:ind w:left="2835"/>
        <w:jc w:val="both"/>
      </w:pPr>
      <w:r>
        <w:t>Este estudo analisa o hip hop como expressão artística e ferramenta de resistência da população negra nas periferias urbanas brasileiras a partir dos anos 2000. Com abordagem qualitativa, reflete sobre como o racismo estrutura desigualdades sociais e como a arte periférica, especialmente o RAP, atua na emancipação, crítica social e afirmação identitária.</w:t>
      </w:r>
    </w:p>
    <w:p w14:paraId="0000000E" w14:textId="77777777" w:rsidR="00B56D77" w:rsidRDefault="00000000">
      <w:pPr>
        <w:spacing w:line="240" w:lineRule="auto"/>
        <w:ind w:left="2835"/>
        <w:jc w:val="both"/>
        <w:rPr>
          <w:b/>
        </w:rPr>
      </w:pPr>
      <w:r>
        <w:rPr>
          <w:b/>
        </w:rPr>
        <w:t>PALAVRAS-CHAVE: hip-hop; periferia; população negra; resistência.</w:t>
      </w:r>
    </w:p>
    <w:p w14:paraId="0000000F" w14:textId="77777777" w:rsidR="00B56D77" w:rsidRDefault="00B56D77">
      <w:pPr>
        <w:jc w:val="both"/>
        <w:rPr>
          <w:b/>
        </w:rPr>
      </w:pPr>
    </w:p>
    <w:p w14:paraId="00000010" w14:textId="77777777" w:rsidR="00B56D77" w:rsidRDefault="00000000">
      <w:pPr>
        <w:spacing w:line="360" w:lineRule="auto"/>
        <w:jc w:val="both"/>
        <w:rPr>
          <w:b/>
        </w:rPr>
      </w:pPr>
      <w:r>
        <w:rPr>
          <w:b/>
        </w:rPr>
        <w:t xml:space="preserve">INTRODUÇÃO E METODOLOGIA. </w:t>
      </w:r>
    </w:p>
    <w:p w14:paraId="00000011" w14:textId="77777777" w:rsidR="00B56D77" w:rsidRDefault="00000000">
      <w:pPr>
        <w:spacing w:line="360" w:lineRule="auto"/>
        <w:jc w:val="both"/>
      </w:pPr>
      <w:r>
        <w:t>Desde o período pós-abolição, a população negra no Brasil foi sistematicamente excluída do acesso a direitos básicos. Sem políticas públicas de reparação ou integração social, foi deixada à própria sorte em uma sociedade estruturada sobre bases racistas e excludentes. O surgimento das favelas está diretamente ligado ao processo de pauperização da população negra e ao caráter eugenista das políticas públicas pós-Lei Áurea de 1888. A Lei de Terras de 1850, que condicionava o acesso à terra, impediu que negros(as)  tivessem acesso à propriedade, forçando-os a ocupar áreas marginalizadas. Expulsos dos centros urbanos, migraram para as periferias, formando os primeiros territórios de favela, que mesmo sob estigmatização tornaram-se espaços de resistência, solidariedade e criação de novas formas de existência. Como resposta às condições impostas, a população negra ressignificou suas formas de sobrevivência.</w:t>
      </w:r>
    </w:p>
    <w:p w14:paraId="00000012" w14:textId="77777777" w:rsidR="00B56D77" w:rsidRDefault="00000000">
      <w:pPr>
        <w:spacing w:before="240" w:after="240" w:line="360" w:lineRule="auto"/>
      </w:pPr>
      <w:r>
        <w:t xml:space="preserve"> Segundo Loureiro (2016), o hip-hop teve início nos Estados Unidos na década de 1970, em meio às comunidades negras e latinas do Bronx, como uma resposta à exclusão social, à violência policial e à negação de direitos básicos. Com o tempo, esse movimento foi </w:t>
      </w:r>
      <w:r>
        <w:lastRenderedPageBreak/>
        <w:t xml:space="preserve">adaptado à realidade brasileira, representando as vivências periféricas e denunciando as desigualdades sociais, raciais e econômicas. A estrutura social influencia diretamente a realidade dos sujeitos como aponta Bourdieu (1983), os diferentes capitais econômico, cultural e social moldam as oportunidades disponíveis e reforçam desigualdades. </w:t>
      </w:r>
    </w:p>
    <w:p w14:paraId="00000013" w14:textId="77777777" w:rsidR="00B56D77" w:rsidRDefault="00000000">
      <w:pPr>
        <w:spacing w:before="240" w:after="240" w:line="360" w:lineRule="auto"/>
      </w:pPr>
      <w:r>
        <w:t>O hip hop, enquanto herança cultural, expressa religiosidade, identidade e luta. Assim como os tambores e os pontos religiosos são formas de resistência negra e afro-indígena, hoje a arte periférica surge como reflexo do meio social e como linguagem de enfrentamento. Nesse contexto, os beats e as rimas assumem o papel de formas contemporâneas de resistência, fazendo do hip-hop uma poderosa ferramenta de denúncia, memória e afirmação nas favelas brasileiras. O RAP, assim como outras manifestações culturais, expressa a subjetividade humana de diversas formas, por meio do cotidiano, das ambições, das inspirações e da representação do espaço em que se vive. É nesse cenário que o RAP se consolida como um importante instrumento político-cultural de reivindicação de direitos, identidade e reparação histórica. Dentro de uma única discografia existe um mundo de possibilidades de interpretação, resgate fatos históricos e atribuições novos significados a narrativas já conhecidas. Um exemplo disso é a releitura da história do “descobrimento do Brasil”. Enquanto a versão ensinada nas escolas apresenta os portugueses como descobridores, o RAP os retrata como colonizadores e apropriadores que até hoje estão no poder do país por meio da sua árvore genealógica . Dessa forma, ocorre a ressignificação de diversos personagens negros, que passam a ser mencionados nos versos do RAP como símbolos de resistência e protagonismo. É o caso da Revolta da Chibata, relembrada por Sant na música Brasil Colônia (2018), e de Zumbi dos Palmares, citado por DK47 na faixa Sem Memória (2020). Ao ouvirem essas referências, muitos indivíduos que vivem em contextos semelhantes reconhecem-se nas histórias contadas. Isso não apenas fortalece seu senso de identidade, como também desperta o interesse pelo conhecimento.</w:t>
      </w:r>
    </w:p>
    <w:p w14:paraId="00000014" w14:textId="77777777" w:rsidR="00B56D77" w:rsidRDefault="00000000">
      <w:pPr>
        <w:spacing w:before="240" w:after="240" w:line="360" w:lineRule="auto"/>
        <w:rPr>
          <w:color w:val="FF0000"/>
        </w:rPr>
      </w:pPr>
      <w:r>
        <w:t xml:space="preserve">O presente trabalho tem por objetivo discutir o contexto de manifestação da arte da população negra dentro das periferias, com recorte temporal a partir dos anos 2000, centrado nas expressões do hip hop nas periferias urbanas brasileiras. Nesse sentido, a pesquisa desenvolveu-se por meio de uma abordagem qualitativa, de natureza bibliográfica e vivencial, buscando estabelecer diálogo com autores que discutem o racismo e suas influências históricas e estruturais nas expressões da questão social, que afetam direta e sistematicamente a população negra no Brasil especialmente aquela situada nas periferias </w:t>
      </w:r>
      <w:r>
        <w:lastRenderedPageBreak/>
        <w:t>urbanas. Além disso, a pesquisa analisa como a população negra tem ampliado suas formas de existir e expressar sua ancestralidade por meio do hip hop, compreendendo esse ritmo musical para além de uma manifestação artística, mas como um potente mecanismo de crítica ao sistema capitalista, racista e patriarcal. Para tanto, adota-se como referência a perspectiva da “antologia do ser”, entendida como uma forma de resgatar a potência criativa e política dos sujeitos negros na construção de suas narrativas, memórias e epistemologias. A pesquisa também se apoia na vivência de jovens negros e periféricos que, por meio da arte e da música, acessam espaços de saber e produzem leituras críticas sobre a realidade social que os atravessa.</w:t>
      </w:r>
      <w:r>
        <w:rPr>
          <w:color w:val="FF0000"/>
        </w:rPr>
        <w:t xml:space="preserve"> </w:t>
      </w:r>
    </w:p>
    <w:p w14:paraId="00000015" w14:textId="77777777" w:rsidR="00B56D77" w:rsidRDefault="00000000">
      <w:pPr>
        <w:spacing w:before="240" w:after="240" w:line="360" w:lineRule="auto"/>
        <w:rPr>
          <w:b/>
        </w:rPr>
      </w:pPr>
      <w:r>
        <w:rPr>
          <w:b/>
        </w:rPr>
        <w:t>RESULTADOS.</w:t>
      </w:r>
    </w:p>
    <w:p w14:paraId="00000016" w14:textId="77777777" w:rsidR="00B56D77" w:rsidRDefault="00000000">
      <w:pPr>
        <w:spacing w:before="240" w:after="240" w:line="360" w:lineRule="auto"/>
      </w:pPr>
      <w:r>
        <w:t xml:space="preserve">Nesse contexto, o RAP se consolida como uma potente ferramenta de resistência cultural, promovendo a valorização das religiões de matriz africana e fortalecendo sua presença como elemento identitário da população negra periférica. Por meio da música, artistas expressam sua fé — historicamente silenciada e criminalizada — e reconstroem narrativas que afirmam suas raízes e tradições. Um dos artistas que mais evidenciam essa relação entre religiosidade e arte é Djonga, rapper mineiro que, desde seu álbum de estreia </w:t>
      </w:r>
      <w:r>
        <w:rPr>
          <w:i/>
        </w:rPr>
        <w:t>Heresia</w:t>
      </w:r>
      <w:r>
        <w:t xml:space="preserve"> (2017), tem inserido referências aos orixás e à espiritualidade afro-brasileira em suas composições. Na música “Ponto de Vista" do álbum Ainda Tenho Fome, por exemplo, o cantor aborda a trajetória do Orixá Exu, revelando como a ancestralidade e a religiosidade atravessam sua vivência e se expressam em suas rimas.</w:t>
      </w:r>
    </w:p>
    <w:p w14:paraId="00000017" w14:textId="77777777" w:rsidR="00B56D77" w:rsidRDefault="00000000">
      <w:pPr>
        <w:spacing w:line="240" w:lineRule="auto"/>
        <w:ind w:left="2444"/>
        <w:jc w:val="both"/>
        <w:rPr>
          <w:sz w:val="20"/>
          <w:szCs w:val="20"/>
        </w:rPr>
      </w:pPr>
      <w:r>
        <w:rPr>
          <w:sz w:val="20"/>
          <w:szCs w:val="20"/>
        </w:rPr>
        <w:t>“Primeiro Exu comeu tudo de que mais gostava, depois começou a devorar as árvores, os pastos e já ameaçava engolir o mar./Furioso,o seu pai Orunmilá compreendeu que Exu não pararia e comeria até mesmo o Céu./ Orunmilá pediu a Ogum que detivesse o irmão a todo custo./ Para preservar a Terra e os seres humanos e os próprios Orixás./Ogum teve que matar o próprio irmão. A morte, entretanto, não aplacou a fome de Exu. Mesmo depois de morto, podia-se sentir sua presença devoradora, sua fome sem tamanho”. (Djonga, 2025).</w:t>
      </w:r>
    </w:p>
    <w:p w14:paraId="00000018" w14:textId="77777777" w:rsidR="00B56D77" w:rsidRDefault="00B56D77">
      <w:pPr>
        <w:spacing w:line="360" w:lineRule="auto"/>
        <w:ind w:left="284"/>
        <w:jc w:val="right"/>
      </w:pPr>
    </w:p>
    <w:p w14:paraId="00000019" w14:textId="77777777" w:rsidR="00B56D77" w:rsidRDefault="00000000">
      <w:pPr>
        <w:spacing w:line="360" w:lineRule="auto"/>
        <w:jc w:val="both"/>
      </w:pPr>
      <w:r>
        <w:t xml:space="preserve">A partir de uma referência religiosa, Djonga transforma a fome de Exu em metáfora para a fome que move sua carreira artística. Mais do que uma busca por sucesso, essa fome simboliza o desejo de nutrir sua alma, seu espírito, sua família e sua comunidade. Em seu álbum, Djonga transmite mensagens potentes que incentivam jovens negros e periféricos a valorizarem o conhecimento e a educação. Ele próprio, que cursava História abandonou a universidade para se dedicar ao RAP, e hoje com suas músicas inspira e incentiva que seus </w:t>
      </w:r>
      <w:r>
        <w:lastRenderedPageBreak/>
        <w:t>ouvintes devem continuar estudando. Dessa forma suas letras rompem com os modelos tradicionais e engessados de ensino, e propõe novas formas de aprendizagem que dialogam diretamente com a vivência da periferia que tem possibilitado a formação desses sujeitos.</w:t>
      </w:r>
    </w:p>
    <w:p w14:paraId="0000001A" w14:textId="77777777" w:rsidR="00B56D77" w:rsidRDefault="00000000">
      <w:pPr>
        <w:spacing w:before="240" w:after="240" w:line="360" w:lineRule="auto"/>
        <w:jc w:val="both"/>
      </w:pPr>
      <w:r>
        <w:t xml:space="preserve">Partindo da reflexão de mulheres intelectuais que discutem a interseccionalidade de raça e gênero,é impossível ignorar o abismo social que separa as experiências vividas por mulheres negras das demais. Enquanto a luta por igualdade de gênero e racial avança, a estrutura racista e patriarcal da sociedade continua a oprimir e inferiorizar a mulher, sobretudo a mulher negra, que enfrenta opressões interseccionais. Essa realidade se evidencia com profundidade na obra </w:t>
      </w:r>
      <w:r>
        <w:rPr>
          <w:i/>
        </w:rPr>
        <w:t>Por um feminismo afro-latino-americano</w:t>
      </w:r>
      <w:r>
        <w:t xml:space="preserve"> (1988), da escritora Lélia Gonzalez (1988), que realiza uma análise crítica sobre a exclusão enfrentada pelas mulheres negras. A autora demonstra como se operam o distanciamento social e econômico em relação à população branca, as assimetrias dentro da própria comunidade negra e a marginalização específica da mulher negra no contexto patriarcal. Com isso, a autora constrói um quadro teórico que expõe os mecanismos de opressão interseccional, revelando como racismo e sexismo se articulam para manter as mulheres negras em posições subalternas.</w:t>
      </w:r>
    </w:p>
    <w:p w14:paraId="0000001B" w14:textId="77777777" w:rsidR="00B56D77" w:rsidRDefault="00000000">
      <w:pPr>
        <w:spacing w:before="240" w:after="240" w:line="360" w:lineRule="auto"/>
        <w:jc w:val="both"/>
        <w:rPr>
          <w:color w:val="FF0000"/>
        </w:rPr>
      </w:pPr>
      <w:r>
        <w:t xml:space="preserve">Esse debate encontra eco nas práticas culturais contemporâneas, especialmente no RAP, que se apresenta como uma ferramenta de emancipação e denúncia. Rappers como Tasha e Tracie, por exemplo, usam suas letras para criticar abertamente o sistema racista e patriarcal, expondo a desigualdade estrutural que enfrentam. Ao mesmo tempo, suas músicas também expressam orgulho, autoestima e poder, ao ostentarem conquistas e afirmarem que as mulheres negras têm capacidade de alcançar o que querem ainda que tenham que lutar muito mais do que outros grupos sociais. Essa postura confronta diretamente os estigmas e revela a potência da autoafirmação negra e feminina, mesmo dentro de um sistema feito para oprimir. No plano institucional, Batista (2018) argumenta que o racismo institucional ocorre quando instituições públicas ou privadas, por meio de suas políticas, normas e práticas, mantêm privilégios para determinados grupos raciais, enquanto desfavorecem sistematicamente outros. Essa forma de racismo se manifesta na falta de representatividade de pessoas negras, especialmente mulheres, nos espaços de poder, e também nas barreiras invisíveis que impedem sua ascensão social, mesmo quando demonstram excelência e competência. Na música 'Big D!!!!!', a artista e compositora Duquesa apresenta dez dicas voltadas às mulheres no mercado de trabalho e na vida artística. A canção destaca temas como a importância de não permitir que subestimem seus sonhos e cuidados com a mente e o corpo, Além disso, </w:t>
      </w:r>
      <w:r>
        <w:lastRenderedPageBreak/>
        <w:t>reforça que em uma mesa de negócios, é essencial manter postura e firmeza nas ações. Com isso, o RAP que ela escreve, além de promover o empoderamento feminino, também oferece orientações de formação e conhecimento que contribuem para um melhor desempenho individual e no ambiente de trabalho.</w:t>
      </w:r>
    </w:p>
    <w:p w14:paraId="0000001C" w14:textId="77777777" w:rsidR="00B56D77" w:rsidRDefault="00000000">
      <w:pPr>
        <w:spacing w:line="360" w:lineRule="auto"/>
        <w:jc w:val="both"/>
      </w:pPr>
      <w:r>
        <w:rPr>
          <w:b/>
        </w:rPr>
        <w:t>CONSIDERAÇÕES FINAIS.</w:t>
      </w:r>
    </w:p>
    <w:p w14:paraId="0000001D" w14:textId="77777777" w:rsidR="00B56D77" w:rsidRDefault="00000000">
      <w:pPr>
        <w:spacing w:line="360" w:lineRule="auto"/>
      </w:pPr>
      <w:r>
        <w:t>Para além da música, o RAP atua como ferramenta de denúncia contra o racismo e outras formas de exclusão social. A trajetória de artistas periféricos que alcançaram reconhecimento ao narrar suas vivências revela o potencial do RAP como instrumento de resistência, fortalecimento da autoestima e transformação de realidades.</w:t>
      </w:r>
    </w:p>
    <w:p w14:paraId="0000001E" w14:textId="77777777" w:rsidR="00B56D77" w:rsidRDefault="00B56D77">
      <w:pPr>
        <w:spacing w:line="360" w:lineRule="auto"/>
        <w:rPr>
          <w:b/>
        </w:rPr>
      </w:pPr>
    </w:p>
    <w:p w14:paraId="0000001F" w14:textId="77777777" w:rsidR="00B56D77" w:rsidRDefault="00000000">
      <w:pPr>
        <w:rPr>
          <w:b/>
        </w:rPr>
      </w:pPr>
      <w:r>
        <w:rPr>
          <w:b/>
        </w:rPr>
        <w:t>REFERÊNCIAS</w:t>
      </w:r>
    </w:p>
    <w:p w14:paraId="00000020" w14:textId="77777777" w:rsidR="00B56D77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ARRUDA, Daniel Péricles.</w:t>
      </w:r>
      <w:r>
        <w:rPr>
          <w:rFonts w:ascii="Times New Roman" w:eastAsia="Times New Roman" w:hAnsi="Times New Roman" w:cs="Times New Roman"/>
          <w:b/>
        </w:rPr>
        <w:t xml:space="preserve"> Cultura Hip-Hop e Serviço Social: a arte como superação da invisibilidade social da juventude periférica.</w:t>
      </w:r>
      <w:r>
        <w:rPr>
          <w:rFonts w:ascii="Times New Roman" w:eastAsia="Times New Roman" w:hAnsi="Times New Roman" w:cs="Times New Roman"/>
        </w:rPr>
        <w:t xml:space="preserve"> Revista Katálysis, v. 23, n. 01, p. 111-121, 2020. Disponível em: &lt;</w:t>
      </w:r>
      <w:hyperlink r:id="rId6">
        <w:r>
          <w:rPr>
            <w:rFonts w:ascii="Times New Roman" w:eastAsia="Times New Roman" w:hAnsi="Times New Roman" w:cs="Times New Roman"/>
            <w:u w:val="single"/>
          </w:rPr>
          <w:t>https://www.redalyc.org/journal/1796/179662651011/html/</w:t>
        </w:r>
      </w:hyperlink>
      <w:r>
        <w:rPr>
          <w:rFonts w:ascii="Times New Roman" w:eastAsia="Times New Roman" w:hAnsi="Times New Roman" w:cs="Times New Roman"/>
        </w:rPr>
        <w:t xml:space="preserve">&gt;. Acesso em: 12 jan. 2025. </w:t>
      </w:r>
    </w:p>
    <w:p w14:paraId="00000021" w14:textId="77777777" w:rsidR="00B56D77" w:rsidRDefault="0000000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BATISTA, Waleska Miguel.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A inferiorização dos negros a partir do racismo estrutural. </w:t>
      </w:r>
      <w:r>
        <w:rPr>
          <w:rFonts w:ascii="Times New Roman" w:eastAsia="Times New Roman" w:hAnsi="Times New Roman" w:cs="Times New Roman"/>
          <w:highlight w:val="white"/>
        </w:rPr>
        <w:t xml:space="preserve">Revista Direito e Práxis, </w:t>
      </w:r>
      <w:r>
        <w:rPr>
          <w:rFonts w:ascii="Times New Roman" w:eastAsia="Times New Roman" w:hAnsi="Times New Roman" w:cs="Times New Roman"/>
          <w:i/>
          <w:highlight w:val="white"/>
        </w:rPr>
        <w:t>[S. l.]</w:t>
      </w:r>
      <w:r>
        <w:rPr>
          <w:rFonts w:ascii="Times New Roman" w:eastAsia="Times New Roman" w:hAnsi="Times New Roman" w:cs="Times New Roman"/>
          <w:highlight w:val="white"/>
        </w:rPr>
        <w:t>, v. 9, n. 4, p. 2581–2589, 2018. Disponível em: &lt;</w:t>
      </w:r>
      <w:hyperlink r:id="rId7">
        <w:r>
          <w:rPr>
            <w:rFonts w:ascii="Times New Roman" w:eastAsia="Times New Roman" w:hAnsi="Times New Roman" w:cs="Times New Roman"/>
            <w:highlight w:val="white"/>
            <w:u w:val="single"/>
          </w:rPr>
          <w:t>https://www.e-publicacoes.uerj.br/revistaceaju/article/view/3686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7&gt; .  Acesso em 30 de abr. 2025. </w:t>
      </w:r>
    </w:p>
    <w:p w14:paraId="00000022" w14:textId="77777777" w:rsidR="00B56D77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BOURDIEU, Pierre. </w:t>
      </w:r>
      <w:r>
        <w:rPr>
          <w:rFonts w:ascii="Times New Roman" w:eastAsia="Times New Roman" w:hAnsi="Times New Roman" w:cs="Times New Roman"/>
          <w:i/>
        </w:rPr>
        <w:t>O capital social: notas provisórias</w:t>
      </w:r>
      <w:r>
        <w:rPr>
          <w:rFonts w:ascii="Times New Roman" w:eastAsia="Times New Roman" w:hAnsi="Times New Roman" w:cs="Times New Roman"/>
        </w:rPr>
        <w:t xml:space="preserve">. In: </w:t>
      </w:r>
      <w:r>
        <w:rPr>
          <w:rFonts w:ascii="Times New Roman" w:eastAsia="Times New Roman" w:hAnsi="Times New Roman" w:cs="Times New Roman"/>
          <w:b/>
        </w:rPr>
        <w:t>Actes de la recherche en sciences sociales</w:t>
      </w:r>
      <w:r>
        <w:rPr>
          <w:rFonts w:ascii="Times New Roman" w:eastAsia="Times New Roman" w:hAnsi="Times New Roman" w:cs="Times New Roman"/>
        </w:rPr>
        <w:t>, v. 3, n. 31, p. 2-3, 1983.</w:t>
      </w:r>
    </w:p>
    <w:p w14:paraId="00000023" w14:textId="77777777" w:rsidR="00B56D77" w:rsidRDefault="00000000">
      <w:pPr>
        <w:spacing w:line="240" w:lineRule="auto"/>
        <w:jc w:val="both"/>
      </w:pPr>
      <w:r>
        <w:t xml:space="preserve">DJONGA. </w:t>
      </w:r>
      <w:r>
        <w:rPr>
          <w:i/>
        </w:rPr>
        <w:t>Ponto de Vista</w:t>
      </w:r>
      <w:r>
        <w:t xml:space="preserve"> [vídeo]. YouTube, 2025. Disponível em:</w:t>
      </w:r>
      <w:hyperlink r:id="rId8">
        <w:r>
          <w:t xml:space="preserve"> </w:t>
        </w:r>
      </w:hyperlink>
      <w:hyperlink r:id="rId9">
        <w:r>
          <w:rPr>
            <w:u w:val="single"/>
          </w:rPr>
          <w:t>https://www.youtube.com/watch?v=Pb1mTPkHUT4</w:t>
        </w:r>
      </w:hyperlink>
      <w:r>
        <w:t>. Acesso em: 30 abr. 2025.</w:t>
      </w:r>
    </w:p>
    <w:p w14:paraId="00000024" w14:textId="77777777" w:rsidR="00B56D77" w:rsidRDefault="00B56D77">
      <w:pPr>
        <w:spacing w:line="240" w:lineRule="auto"/>
        <w:jc w:val="both"/>
      </w:pPr>
    </w:p>
    <w:p w14:paraId="00000025" w14:textId="77777777" w:rsidR="00B56D77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t>DK47.</w:t>
      </w:r>
      <w:r>
        <w:rPr>
          <w:i/>
        </w:rPr>
        <w:t xml:space="preserve"> Sem Memória </w:t>
      </w:r>
      <w:r>
        <w:t>[vídeo]</w:t>
      </w:r>
      <w:r>
        <w:rPr>
          <w:i/>
        </w:rPr>
        <w:t xml:space="preserve">. </w:t>
      </w:r>
      <w:r>
        <w:t xml:space="preserve">2020 Disponível em: </w:t>
      </w:r>
      <w:hyperlink r:id="rId10">
        <w:r>
          <w:rPr>
            <w:u w:val="single"/>
          </w:rPr>
          <w:t>https://www.youtube.com/watch?v=dDlZdcxVEsc</w:t>
        </w:r>
      </w:hyperlink>
      <w:r>
        <w:t xml:space="preserve"> </w:t>
      </w:r>
      <w:r>
        <w:rPr>
          <w:rFonts w:ascii="Times New Roman" w:eastAsia="Times New Roman" w:hAnsi="Times New Roman" w:cs="Times New Roman"/>
        </w:rPr>
        <w:t>Acesso em: 30 abril. 2025.</w:t>
      </w:r>
    </w:p>
    <w:p w14:paraId="00000026" w14:textId="77777777" w:rsidR="00B56D77" w:rsidRDefault="00B56D7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7" w14:textId="77777777" w:rsidR="00B56D7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t xml:space="preserve">DUQUESA. </w:t>
      </w:r>
      <w:r>
        <w:rPr>
          <w:i/>
        </w:rPr>
        <w:t xml:space="preserve">Big D!!!!! </w:t>
      </w:r>
      <w:r>
        <w:t>[vídeo]</w:t>
      </w:r>
      <w:r>
        <w:rPr>
          <w:i/>
        </w:rPr>
        <w:t>.</w:t>
      </w:r>
      <w:r>
        <w:rPr>
          <w:b/>
        </w:rPr>
        <w:t xml:space="preserve"> </w:t>
      </w:r>
      <w:r>
        <w:t xml:space="preserve">2025 Disponível em: </w:t>
      </w:r>
      <w:hyperlink r:id="rId11">
        <w:r>
          <w:rPr>
            <w:u w:val="single"/>
          </w:rPr>
          <w:t>https://www.youtube.com/watch?v=vvGfFg3LzIQ</w:t>
        </w:r>
      </w:hyperlink>
      <w:r>
        <w:t xml:space="preserve"> </w:t>
      </w:r>
      <w:r>
        <w:rPr>
          <w:rFonts w:ascii="Times New Roman" w:eastAsia="Times New Roman" w:hAnsi="Times New Roman" w:cs="Times New Roman"/>
        </w:rPr>
        <w:t>Acesso em: 30 abril. 2025</w:t>
      </w:r>
    </w:p>
    <w:p w14:paraId="00000028" w14:textId="77777777" w:rsidR="00B56D77" w:rsidRDefault="00000000">
      <w:pPr>
        <w:shd w:val="clear" w:color="auto" w:fill="FFFFFF"/>
        <w:spacing w:before="180" w:after="180" w:line="240" w:lineRule="auto"/>
        <w:jc w:val="both"/>
      </w:pPr>
      <w:r>
        <w:rPr>
          <w:highlight w:val="white"/>
        </w:rPr>
        <w:t xml:space="preserve">GONZÁLEZ, Lélia. Por um movimento afro-latino-americano. In: ______. Primavera para as rosas negras. 1. ed. São Paulo: Diáspora Africana, 2018. p. 31-50. </w:t>
      </w:r>
    </w:p>
    <w:p w14:paraId="00000029" w14:textId="77777777" w:rsidR="00B56D77" w:rsidRDefault="00000000">
      <w:pPr>
        <w:shd w:val="clear" w:color="auto" w:fill="FFFFFF"/>
        <w:spacing w:before="180" w:after="180" w:line="240" w:lineRule="auto"/>
        <w:jc w:val="both"/>
      </w:pPr>
      <w:r>
        <w:t xml:space="preserve">LOUREIRO, Bráulio Roberto de Castro. Arte, cultura e política na história do rap nacional. </w:t>
      </w:r>
      <w:r>
        <w:rPr>
          <w:i/>
        </w:rPr>
        <w:t>Revista do Instituto de Estudos Brasileiros</w:t>
      </w:r>
      <w:r>
        <w:t>, São Paulo, n. 63, p. 235–241, abr. 2016. Disponível em:</w:t>
      </w:r>
      <w:hyperlink r:id="rId12">
        <w:r>
          <w:t xml:space="preserve"> </w:t>
        </w:r>
      </w:hyperlink>
      <w:hyperlink r:id="rId13">
        <w:r>
          <w:rPr>
            <w:u w:val="single"/>
          </w:rPr>
          <w:t>https://www.scielo.br/j/rieb/a/ZxHFxGCqKX4ZZM9rrBqzGhF/</w:t>
        </w:r>
      </w:hyperlink>
      <w:r>
        <w:t>. Acesso em: 30 abr. 2025.</w:t>
      </w:r>
    </w:p>
    <w:p w14:paraId="0000002A" w14:textId="77777777" w:rsidR="00B56D77" w:rsidRDefault="00B56D77">
      <w:pPr>
        <w:spacing w:line="240" w:lineRule="auto"/>
        <w:jc w:val="both"/>
      </w:pPr>
    </w:p>
    <w:p w14:paraId="0000002B" w14:textId="77777777" w:rsidR="00B56D77" w:rsidRDefault="00000000">
      <w:pPr>
        <w:spacing w:line="240" w:lineRule="auto"/>
        <w:jc w:val="both"/>
      </w:pPr>
      <w:r>
        <w:t>ORIENTE,Nissin, Fábio Brazza, Sant, Sid, Gog.</w:t>
      </w:r>
      <w:r>
        <w:rPr>
          <w:i/>
        </w:rPr>
        <w:t xml:space="preserve"> Brasil Colônia </w:t>
      </w:r>
      <w:r>
        <w:t>[vídeo]</w:t>
      </w:r>
      <w:r>
        <w:rPr>
          <w:i/>
        </w:rPr>
        <w:t>.</w:t>
      </w:r>
      <w:r>
        <w:rPr>
          <w:b/>
        </w:rPr>
        <w:t xml:space="preserve"> </w:t>
      </w:r>
      <w:r>
        <w:t xml:space="preserve">2018 Disponível em: </w:t>
      </w:r>
      <w:hyperlink r:id="rId14">
        <w:r>
          <w:rPr>
            <w:u w:val="single"/>
          </w:rPr>
          <w:t>https://www.youtube.com/watch?v=nzvZ7Vl91m4</w:t>
        </w:r>
      </w:hyperlink>
      <w:r>
        <w:t xml:space="preserve"> </w:t>
      </w:r>
      <w:r>
        <w:rPr>
          <w:rFonts w:ascii="Times New Roman" w:eastAsia="Times New Roman" w:hAnsi="Times New Roman" w:cs="Times New Roman"/>
        </w:rPr>
        <w:t>Acesso em: 30 abril. 2025.</w:t>
      </w:r>
    </w:p>
    <w:sectPr w:rsidR="00B56D77">
      <w:headerReference w:type="default" r:id="rId15"/>
      <w:pgSz w:w="11909" w:h="16834"/>
      <w:pgMar w:top="2834" w:right="1417" w:bottom="1133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681B9" w14:textId="77777777" w:rsidR="005A7390" w:rsidRDefault="005A7390">
      <w:pPr>
        <w:spacing w:line="240" w:lineRule="auto"/>
      </w:pPr>
      <w:r>
        <w:separator/>
      </w:r>
    </w:p>
  </w:endnote>
  <w:endnote w:type="continuationSeparator" w:id="0">
    <w:p w14:paraId="4AED726E" w14:textId="77777777" w:rsidR="005A7390" w:rsidRDefault="005A73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FB7B616A-B317-4C85-A595-B89A32F12F18}"/>
    <w:embedItalic r:id="rId2" w:fontKey="{EC3AE984-3297-4428-9CE4-D04EFD6BA87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55F0346-82EF-468E-AD15-0239960DD7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3584EBF-0E18-4801-92B0-EAC596760B2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CBFEC" w14:textId="77777777" w:rsidR="005A7390" w:rsidRDefault="005A7390">
      <w:pPr>
        <w:spacing w:line="240" w:lineRule="auto"/>
      </w:pPr>
      <w:r>
        <w:separator/>
      </w:r>
    </w:p>
  </w:footnote>
  <w:footnote w:type="continuationSeparator" w:id="0">
    <w:p w14:paraId="176DADFF" w14:textId="77777777" w:rsidR="005A7390" w:rsidRDefault="005A73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C" w14:textId="77777777" w:rsidR="00B56D77" w:rsidRDefault="00000000">
    <w:r>
      <w:pict w14:anchorId="60A97E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56.8pt;margin-top:-142.1pt;width:601.2pt;height:849.75pt;z-index:-251658752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D77"/>
    <w:rsid w:val="00535902"/>
    <w:rsid w:val="00590FD2"/>
    <w:rsid w:val="005A7390"/>
    <w:rsid w:val="00B5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E6A3CC7-302B-486A-9F3E-D7FEF5C0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b1mTPkHUT4" TargetMode="External"/><Relationship Id="rId13" Type="http://schemas.openxmlformats.org/officeDocument/2006/relationships/hyperlink" Target="https://www.scielo.br/j/rieb/a/ZxHFxGCqKX4ZZM9rrBqzGhF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-publicacoes.uerj.br/revistaceaju/article/view/36867" TargetMode="External"/><Relationship Id="rId12" Type="http://schemas.openxmlformats.org/officeDocument/2006/relationships/hyperlink" Target="https://www.scielo.br/j/rieb/a/ZxHFxGCqKX4ZZM9rrBqzGhF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redalyc.org/journal/1796/179662651011/html/" TargetMode="External"/><Relationship Id="rId11" Type="http://schemas.openxmlformats.org/officeDocument/2006/relationships/hyperlink" Target="https://www.youtube.com/watch?v=vvGfFg3LzIQ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dDlZdcxVEs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Pb1mTPkHUT4" TargetMode="External"/><Relationship Id="rId14" Type="http://schemas.openxmlformats.org/officeDocument/2006/relationships/hyperlink" Target="https://www.youtube.com/watch?v=nzvZ7Vl91m4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2042</Words>
  <Characters>11027</Characters>
  <Application>Microsoft Office Word</Application>
  <DocSecurity>0</DocSecurity>
  <Lines>91</Lines>
  <Paragraphs>26</Paragraphs>
  <ScaleCrop>false</ScaleCrop>
  <Company/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Magna Broseguini Keys</dc:creator>
  <cp:lastModifiedBy>Eugenia Magna Broseguini Keys</cp:lastModifiedBy>
  <cp:revision>2</cp:revision>
  <dcterms:created xsi:type="dcterms:W3CDTF">2025-07-13T05:11:00Z</dcterms:created>
  <dcterms:modified xsi:type="dcterms:W3CDTF">2025-07-13T05:11:00Z</dcterms:modified>
</cp:coreProperties>
</file>