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50E44" w14:textId="77777777" w:rsidR="00C8627B" w:rsidRDefault="00C8627B" w:rsidP="00C8627B">
      <w:pPr>
        <w:spacing w:after="120" w:line="360" w:lineRule="auto"/>
        <w:ind w:right="-1"/>
        <w:rPr>
          <w:b/>
          <w:smallCaps/>
          <w:sz w:val="32"/>
          <w:szCs w:val="32"/>
        </w:rPr>
      </w:pPr>
    </w:p>
    <w:p w14:paraId="6C4C58FB" w14:textId="7820EB6B" w:rsidR="00C84E1B" w:rsidRPr="00A204C7" w:rsidRDefault="00371301" w:rsidP="00C8627B">
      <w:pPr>
        <w:spacing w:after="120" w:line="360" w:lineRule="auto"/>
        <w:ind w:right="-1"/>
        <w:jc w:val="center"/>
        <w:rPr>
          <w:b/>
          <w:smallCaps/>
          <w:sz w:val="32"/>
          <w:szCs w:val="32"/>
        </w:rPr>
      </w:pPr>
      <w:r w:rsidRPr="00371301">
        <w:rPr>
          <w:b/>
          <w:smallCaps/>
          <w:sz w:val="32"/>
          <w:szCs w:val="32"/>
        </w:rPr>
        <w:t>DESEMPENHO LOGÍSTICO DO BRASIL ENTRE 2007 E 2018</w:t>
      </w:r>
      <w:r>
        <w:rPr>
          <w:b/>
          <w:smallCaps/>
          <w:sz w:val="32"/>
          <w:szCs w:val="32"/>
        </w:rPr>
        <w:t>:</w:t>
      </w:r>
      <w:r w:rsidRPr="00371301">
        <w:rPr>
          <w:rFonts w:eastAsia="Calibri"/>
          <w:b/>
        </w:rPr>
        <w:t xml:space="preserve"> </w:t>
      </w:r>
      <w:r w:rsidRPr="00371301">
        <w:rPr>
          <w:b/>
          <w:smallCaps/>
          <w:sz w:val="32"/>
          <w:szCs w:val="32"/>
        </w:rPr>
        <w:t>ANÁLISE COM BASE NO ÍNDICE DE DESEMPENHO LOGÍSTICO DO BANCO MUNDIAL</w:t>
      </w:r>
    </w:p>
    <w:p w14:paraId="0A09A77F" w14:textId="2F13AE3F" w:rsidR="00C84E1B" w:rsidRPr="00371301" w:rsidRDefault="00371301" w:rsidP="00371301">
      <w:pPr>
        <w:tabs>
          <w:tab w:val="center" w:pos="4535"/>
          <w:tab w:val="left" w:pos="8389"/>
        </w:tabs>
        <w:spacing w:after="120" w:line="360" w:lineRule="auto"/>
        <w:jc w:val="center"/>
        <w:outlineLvl w:val="0"/>
        <w:rPr>
          <w:b/>
          <w:i/>
          <w:smallCaps/>
          <w:sz w:val="20"/>
          <w:szCs w:val="20"/>
          <w:lang w:val="en-US"/>
        </w:rPr>
      </w:pPr>
      <w:r w:rsidRPr="00371301">
        <w:rPr>
          <w:b/>
          <w:i/>
          <w:smallCaps/>
          <w:sz w:val="28"/>
          <w:szCs w:val="28"/>
          <w:lang w:val="en-US"/>
        </w:rPr>
        <w:t>BRAZILIAN LOGISTICS PERFORMANCE BETWEEN 2007 AND 2018: ANALYSIS BASED ON THE WORLD BANK'S LOGISTICS PERFORMANCE INDEX</w:t>
      </w:r>
    </w:p>
    <w:p w14:paraId="37BDB390" w14:textId="3A2DC2BE" w:rsidR="009E4EA9" w:rsidRDefault="00371301" w:rsidP="00CF1C9F">
      <w:pPr>
        <w:jc w:val="center"/>
        <w:outlineLvl w:val="0"/>
        <w:rPr>
          <w:b/>
          <w:vertAlign w:val="superscript"/>
        </w:rPr>
      </w:pPr>
      <w:r>
        <w:rPr>
          <w:b/>
        </w:rPr>
        <w:t>Edna Gessner</w:t>
      </w:r>
      <w:r w:rsidR="00094191" w:rsidRPr="004434CE">
        <w:rPr>
          <w:b/>
          <w:vertAlign w:val="superscript"/>
        </w:rPr>
        <w:t>1</w:t>
      </w:r>
      <w:r w:rsidR="00C27CDA">
        <w:rPr>
          <w:b/>
          <w:vertAlign w:val="superscript"/>
        </w:rPr>
        <w:t>*</w:t>
      </w:r>
      <w:r>
        <w:rPr>
          <w:b/>
        </w:rPr>
        <w:t xml:space="preserve">; Carlos Manuel </w:t>
      </w:r>
      <w:proofErr w:type="spellStart"/>
      <w:r>
        <w:rPr>
          <w:b/>
        </w:rPr>
        <w:t>Taboada</w:t>
      </w:r>
      <w:proofErr w:type="spellEnd"/>
      <w:r>
        <w:rPr>
          <w:b/>
        </w:rPr>
        <w:t xml:space="preserve"> Rodriguez </w:t>
      </w:r>
      <w:proofErr w:type="gramStart"/>
      <w:r w:rsidR="000474A4" w:rsidRPr="004434CE">
        <w:rPr>
          <w:b/>
          <w:vertAlign w:val="superscript"/>
        </w:rPr>
        <w:t>2</w:t>
      </w:r>
      <w:proofErr w:type="gramEnd"/>
      <w:r>
        <w:rPr>
          <w:b/>
        </w:rPr>
        <w:t xml:space="preserve">; Álvaro </w:t>
      </w:r>
      <w:r w:rsidRPr="00371301">
        <w:rPr>
          <w:b/>
          <w:bCs/>
        </w:rPr>
        <w:t>Guillermo Rojas</w:t>
      </w:r>
      <w:r w:rsidRPr="00371301">
        <w:rPr>
          <w:b/>
        </w:rPr>
        <w:t> Lezana</w:t>
      </w:r>
      <w:r w:rsidR="009723DE" w:rsidRPr="004434CE">
        <w:rPr>
          <w:b/>
          <w:vertAlign w:val="superscript"/>
        </w:rPr>
        <w:t>3</w:t>
      </w:r>
    </w:p>
    <w:p w14:paraId="68050D8F" w14:textId="77777777" w:rsidR="009F524E" w:rsidRPr="009F524E" w:rsidRDefault="009F524E" w:rsidP="00CF1C9F">
      <w:pPr>
        <w:jc w:val="center"/>
        <w:outlineLvl w:val="0"/>
        <w:rPr>
          <w:b/>
          <w:sz w:val="16"/>
          <w:szCs w:val="16"/>
          <w:vertAlign w:val="superscript"/>
        </w:rPr>
      </w:pPr>
    </w:p>
    <w:p w14:paraId="0B14B344" w14:textId="6341D73F" w:rsidR="00C27CDA" w:rsidRDefault="00E51CB3" w:rsidP="00C27CDA">
      <w:pPr>
        <w:shd w:val="clear" w:color="auto" w:fill="FFFFFF"/>
        <w:tabs>
          <w:tab w:val="left" w:pos="142"/>
        </w:tabs>
        <w:jc w:val="center"/>
        <w:rPr>
          <w:sz w:val="20"/>
          <w:szCs w:val="20"/>
        </w:rPr>
      </w:pPr>
      <w:r w:rsidRPr="00E51CB3">
        <w:rPr>
          <w:b/>
          <w:sz w:val="20"/>
          <w:szCs w:val="20"/>
          <w:vertAlign w:val="superscript"/>
        </w:rPr>
        <w:t xml:space="preserve">1 2 </w:t>
      </w:r>
      <w:proofErr w:type="gramStart"/>
      <w:r w:rsidRPr="00E51CB3">
        <w:rPr>
          <w:b/>
          <w:sz w:val="20"/>
          <w:szCs w:val="20"/>
          <w:vertAlign w:val="superscript"/>
        </w:rPr>
        <w:t>3</w:t>
      </w:r>
      <w:r w:rsidRPr="00E51CB3">
        <w:rPr>
          <w:sz w:val="20"/>
          <w:szCs w:val="20"/>
        </w:rPr>
        <w:t>Departamento</w:t>
      </w:r>
      <w:proofErr w:type="gramEnd"/>
      <w:r w:rsidR="00371301">
        <w:rPr>
          <w:sz w:val="20"/>
          <w:szCs w:val="20"/>
        </w:rPr>
        <w:t xml:space="preserve"> de Engenharia de Produção e Sistemas do Centro Tecnológico da Universidade Federal de Santa Catarina,</w:t>
      </w:r>
      <w:r w:rsidR="00C27CDA">
        <w:rPr>
          <w:sz w:val="20"/>
          <w:szCs w:val="20"/>
        </w:rPr>
        <w:t xml:space="preserve"> Campus</w:t>
      </w:r>
      <w:r w:rsidR="00371301">
        <w:rPr>
          <w:sz w:val="20"/>
          <w:szCs w:val="20"/>
        </w:rPr>
        <w:t xml:space="preserve"> </w:t>
      </w:r>
      <w:r w:rsidR="00C27CDA" w:rsidRPr="00C27CDA">
        <w:rPr>
          <w:sz w:val="20"/>
          <w:szCs w:val="20"/>
        </w:rPr>
        <w:t>Universit</w:t>
      </w:r>
      <w:r w:rsidR="00C27CDA">
        <w:rPr>
          <w:sz w:val="20"/>
          <w:szCs w:val="20"/>
        </w:rPr>
        <w:t xml:space="preserve">ário Reitor João David Ferreira </w:t>
      </w:r>
      <w:r w:rsidR="00C27CDA" w:rsidRPr="00C27CDA">
        <w:rPr>
          <w:sz w:val="20"/>
          <w:szCs w:val="20"/>
        </w:rPr>
        <w:t>Lima</w:t>
      </w:r>
      <w:r w:rsidR="00C27CDA">
        <w:rPr>
          <w:sz w:val="20"/>
          <w:szCs w:val="20"/>
        </w:rPr>
        <w:t xml:space="preserve">, </w:t>
      </w:r>
      <w:r w:rsidR="00C27CDA" w:rsidRPr="00C27CDA">
        <w:rPr>
          <w:sz w:val="20"/>
          <w:szCs w:val="20"/>
        </w:rPr>
        <w:t>R. Delfino Conti, s/n - Trindade</w:t>
      </w:r>
      <w:r w:rsidR="00C27CDA">
        <w:rPr>
          <w:sz w:val="20"/>
          <w:szCs w:val="20"/>
        </w:rPr>
        <w:t xml:space="preserve">, CEP </w:t>
      </w:r>
      <w:bookmarkStart w:id="0" w:name="_GoBack"/>
      <w:bookmarkEnd w:id="0"/>
      <w:r w:rsidR="00C27CDA" w:rsidRPr="00C27CDA">
        <w:rPr>
          <w:sz w:val="20"/>
          <w:szCs w:val="20"/>
        </w:rPr>
        <w:t>88040-900</w:t>
      </w:r>
      <w:r w:rsidR="00C27CDA">
        <w:rPr>
          <w:sz w:val="20"/>
          <w:szCs w:val="20"/>
        </w:rPr>
        <w:t>, Florianópolis - SC</w:t>
      </w:r>
      <w:r>
        <w:rPr>
          <w:sz w:val="20"/>
          <w:szCs w:val="20"/>
        </w:rPr>
        <w:t>.</w:t>
      </w:r>
    </w:p>
    <w:p w14:paraId="7A7A0E52" w14:textId="34E066AE" w:rsidR="00E51CB3" w:rsidRPr="004434CE" w:rsidRDefault="009F524E" w:rsidP="00C27CDA">
      <w:pPr>
        <w:shd w:val="clear" w:color="auto" w:fill="FFFFFF"/>
        <w:tabs>
          <w:tab w:val="left" w:pos="142"/>
        </w:tabs>
        <w:jc w:val="center"/>
        <w:rPr>
          <w:sz w:val="20"/>
          <w:szCs w:val="20"/>
        </w:rPr>
      </w:pPr>
      <w:r>
        <w:rPr>
          <w:sz w:val="20"/>
          <w:szCs w:val="20"/>
        </w:rPr>
        <w:t>*</w:t>
      </w:r>
      <w:r w:rsidR="00C27CDA">
        <w:rPr>
          <w:rStyle w:val="Hyperlink"/>
          <w:color w:val="auto"/>
          <w:sz w:val="20"/>
          <w:szCs w:val="20"/>
          <w:u w:val="none"/>
        </w:rPr>
        <w:t>edna.gessner</w:t>
      </w:r>
      <w:r w:rsidR="00E51CB3" w:rsidRPr="00D03C02">
        <w:rPr>
          <w:rStyle w:val="Hyperlink"/>
          <w:color w:val="auto"/>
          <w:sz w:val="20"/>
          <w:szCs w:val="20"/>
          <w:u w:val="none"/>
        </w:rPr>
        <w:t>@gmail.com</w:t>
      </w:r>
    </w:p>
    <w:p w14:paraId="3059774C" w14:textId="7E11D356" w:rsidR="00E51CB3" w:rsidRDefault="000261B1" w:rsidP="00E51CB3">
      <w:pPr>
        <w:shd w:val="clear" w:color="auto" w:fill="FFFFFF"/>
        <w:tabs>
          <w:tab w:val="left" w:pos="142"/>
        </w:tabs>
        <w:spacing w:after="120"/>
        <w:jc w:val="center"/>
        <w:rPr>
          <w:sz w:val="20"/>
          <w:szCs w:val="20"/>
        </w:rPr>
        <w:sectPr w:rsidR="00E51CB3" w:rsidSect="00A204C7">
          <w:headerReference w:type="default" r:id="rId9"/>
          <w:footerReference w:type="even" r:id="rId10"/>
          <w:footerReference w:type="default" r:id="rId11"/>
          <w:footerReference w:type="first" r:id="rId12"/>
          <w:type w:val="nextColumn"/>
          <w:pgSz w:w="11907" w:h="16839" w:code="9"/>
          <w:pgMar w:top="1418" w:right="1418" w:bottom="1418" w:left="1418" w:header="709" w:footer="709" w:gutter="0"/>
          <w:pgNumType w:start="1"/>
          <w:cols w:space="454"/>
          <w:docGrid w:linePitch="326"/>
        </w:sectPr>
      </w:pPr>
      <w:r>
        <w:rPr>
          <w:sz w:val="20"/>
          <w:szCs w:val="20"/>
        </w:rPr>
        <w:pict w14:anchorId="05B64130">
          <v:rect id="_x0000_i1025" style="width:453.55pt;height:2pt" o:hralign="center" o:hrstd="t" o:hrnoshade="t" o:hr="t" fillcolor="black [3213]" stroked="f"/>
        </w:pict>
      </w:r>
    </w:p>
    <w:p w14:paraId="66083263" w14:textId="5B356664" w:rsidR="00E51CB3" w:rsidRDefault="00E51CB3" w:rsidP="00D03C02">
      <w:pPr>
        <w:pBdr>
          <w:bottom w:val="single" w:sz="4" w:space="1" w:color="auto"/>
        </w:pBdr>
        <w:shd w:val="clear" w:color="auto" w:fill="FFFFFF"/>
        <w:tabs>
          <w:tab w:val="left" w:pos="142"/>
        </w:tabs>
        <w:spacing w:after="120" w:line="276" w:lineRule="auto"/>
        <w:rPr>
          <w:rFonts w:ascii="Arial Rounded MT Bold" w:hAnsi="Arial Rounded MT Bold"/>
          <w:sz w:val="20"/>
          <w:szCs w:val="20"/>
        </w:rPr>
      </w:pPr>
      <w:r w:rsidRPr="00E51CB3">
        <w:rPr>
          <w:rFonts w:ascii="Arial Rounded MT Bold" w:hAnsi="Arial Rounded MT Bold"/>
          <w:sz w:val="20"/>
          <w:szCs w:val="20"/>
        </w:rPr>
        <w:lastRenderedPageBreak/>
        <w:t>ART</w:t>
      </w:r>
      <w:r w:rsidR="00A10F9E">
        <w:rPr>
          <w:rFonts w:ascii="Arial Rounded MT Bold" w:hAnsi="Arial Rounded MT Bold"/>
          <w:sz w:val="20"/>
          <w:szCs w:val="20"/>
        </w:rPr>
        <w:t>I</w:t>
      </w:r>
      <w:r w:rsidRPr="00E51CB3">
        <w:rPr>
          <w:rFonts w:ascii="Arial Rounded MT Bold" w:hAnsi="Arial Rounded MT Bold"/>
          <w:sz w:val="20"/>
          <w:szCs w:val="20"/>
        </w:rPr>
        <w:t>GO INFO</w:t>
      </w:r>
      <w:r w:rsidR="00A10F9E">
        <w:rPr>
          <w:rFonts w:ascii="Arial Rounded MT Bold" w:hAnsi="Arial Rounded MT Bold"/>
          <w:sz w:val="20"/>
          <w:szCs w:val="20"/>
        </w:rPr>
        <w:t>.</w:t>
      </w:r>
    </w:p>
    <w:p w14:paraId="67941DCF" w14:textId="1FC5393C" w:rsidR="00E51CB3" w:rsidRPr="000372DD" w:rsidRDefault="00E51CB3" w:rsidP="0070602A">
      <w:pPr>
        <w:shd w:val="clear" w:color="auto" w:fill="FFFFFF"/>
        <w:tabs>
          <w:tab w:val="left" w:pos="142"/>
        </w:tabs>
        <w:spacing w:after="120"/>
        <w:rPr>
          <w:b/>
          <w:sz w:val="18"/>
          <w:szCs w:val="18"/>
        </w:rPr>
      </w:pPr>
      <w:r w:rsidRPr="000372DD">
        <w:rPr>
          <w:b/>
          <w:sz w:val="18"/>
          <w:szCs w:val="18"/>
        </w:rPr>
        <w:t xml:space="preserve">Recebido em: </w:t>
      </w:r>
      <w:r w:rsidR="00E5317E">
        <w:rPr>
          <w:b/>
          <w:sz w:val="18"/>
          <w:szCs w:val="18"/>
        </w:rPr>
        <w:t>30/09/2018</w:t>
      </w:r>
    </w:p>
    <w:p w14:paraId="52B2D513" w14:textId="77777777" w:rsidR="00E51CB3" w:rsidRPr="000372DD" w:rsidRDefault="00E51CB3" w:rsidP="00E51CB3">
      <w:pPr>
        <w:shd w:val="clear" w:color="auto" w:fill="FFFFFF"/>
        <w:tabs>
          <w:tab w:val="left" w:pos="142"/>
        </w:tabs>
        <w:spacing w:after="120"/>
        <w:rPr>
          <w:b/>
          <w:sz w:val="18"/>
          <w:szCs w:val="18"/>
        </w:rPr>
      </w:pPr>
      <w:r w:rsidRPr="000372DD">
        <w:rPr>
          <w:b/>
          <w:sz w:val="18"/>
          <w:szCs w:val="18"/>
        </w:rPr>
        <w:t xml:space="preserve">Aprovado em: </w:t>
      </w:r>
    </w:p>
    <w:p w14:paraId="16BA9B01" w14:textId="0FD92EB0" w:rsidR="00E51CB3" w:rsidRPr="00D03C02" w:rsidRDefault="00E51CB3" w:rsidP="000372DD">
      <w:pPr>
        <w:pBdr>
          <w:bottom w:val="single" w:sz="4" w:space="1" w:color="auto"/>
        </w:pBdr>
        <w:shd w:val="clear" w:color="auto" w:fill="FFFFFF"/>
        <w:tabs>
          <w:tab w:val="left" w:pos="142"/>
        </w:tabs>
        <w:spacing w:after="120" w:line="360" w:lineRule="auto"/>
        <w:rPr>
          <w:b/>
          <w:sz w:val="18"/>
          <w:szCs w:val="18"/>
        </w:rPr>
      </w:pPr>
      <w:r w:rsidRPr="00D03C02">
        <w:rPr>
          <w:b/>
          <w:sz w:val="18"/>
          <w:szCs w:val="18"/>
        </w:rPr>
        <w:t>Disponibilizado em:</w:t>
      </w:r>
    </w:p>
    <w:p w14:paraId="7CACDC3A" w14:textId="77777777" w:rsidR="00B21AB3" w:rsidRDefault="00865264" w:rsidP="009F524E">
      <w:pPr>
        <w:shd w:val="clear" w:color="auto" w:fill="FFFFFF"/>
        <w:tabs>
          <w:tab w:val="left" w:pos="142"/>
        </w:tabs>
        <w:spacing w:after="120"/>
        <w:rPr>
          <w:sz w:val="20"/>
          <w:szCs w:val="20"/>
        </w:rPr>
      </w:pPr>
      <w:r w:rsidRPr="00D03C02">
        <w:rPr>
          <w:b/>
          <w:smallCaps/>
          <w:sz w:val="20"/>
          <w:szCs w:val="20"/>
        </w:rPr>
        <w:t>Palavras-chave</w:t>
      </w:r>
      <w:r w:rsidRPr="00D03C02">
        <w:rPr>
          <w:sz w:val="20"/>
          <w:szCs w:val="20"/>
        </w:rPr>
        <w:t>:</w:t>
      </w:r>
    </w:p>
    <w:p w14:paraId="4D1ABA1E" w14:textId="00DDB997" w:rsidR="000372DD" w:rsidRPr="00D03C02" w:rsidRDefault="00E5317E" w:rsidP="009F524E">
      <w:pPr>
        <w:shd w:val="clear" w:color="auto" w:fill="FFFFFF"/>
        <w:tabs>
          <w:tab w:val="left" w:pos="142"/>
        </w:tabs>
        <w:spacing w:after="120"/>
        <w:rPr>
          <w:sz w:val="20"/>
          <w:szCs w:val="20"/>
        </w:rPr>
      </w:pPr>
      <w:r w:rsidRPr="00E5317E">
        <w:rPr>
          <w:sz w:val="20"/>
          <w:szCs w:val="20"/>
        </w:rPr>
        <w:t>Avaliação</w:t>
      </w:r>
      <w:r>
        <w:rPr>
          <w:sz w:val="20"/>
          <w:szCs w:val="20"/>
        </w:rPr>
        <w:t xml:space="preserve"> de desempenho; l</w:t>
      </w:r>
      <w:r w:rsidRPr="00E5317E">
        <w:rPr>
          <w:sz w:val="20"/>
          <w:szCs w:val="20"/>
        </w:rPr>
        <w:t>ogística mundial; índice logístico.</w:t>
      </w:r>
    </w:p>
    <w:p w14:paraId="0E950E29" w14:textId="77777777" w:rsidR="00B21AB3" w:rsidRDefault="000372DD" w:rsidP="009F524E">
      <w:pPr>
        <w:spacing w:after="120"/>
        <w:jc w:val="both"/>
        <w:rPr>
          <w:sz w:val="20"/>
          <w:szCs w:val="20"/>
          <w:lang w:val="en-US"/>
        </w:rPr>
      </w:pPr>
      <w:r w:rsidRPr="00D03C02">
        <w:rPr>
          <w:b/>
          <w:smallCaps/>
          <w:sz w:val="20"/>
          <w:szCs w:val="20"/>
          <w:lang w:val="en-US"/>
        </w:rPr>
        <w:t>Keywords</w:t>
      </w:r>
      <w:r w:rsidRPr="00D03C02">
        <w:rPr>
          <w:sz w:val="20"/>
          <w:szCs w:val="20"/>
          <w:lang w:val="en-US"/>
        </w:rPr>
        <w:t xml:space="preserve">: </w:t>
      </w:r>
    </w:p>
    <w:p w14:paraId="79DCD648" w14:textId="2889CF77" w:rsidR="00DE7F46" w:rsidRDefault="00E5317E" w:rsidP="009F524E">
      <w:pPr>
        <w:spacing w:after="120"/>
        <w:jc w:val="both"/>
        <w:rPr>
          <w:sz w:val="20"/>
          <w:szCs w:val="20"/>
          <w:lang w:val="en-US"/>
        </w:rPr>
      </w:pPr>
      <w:proofErr w:type="gramStart"/>
      <w:r>
        <w:rPr>
          <w:sz w:val="20"/>
          <w:szCs w:val="20"/>
          <w:lang w:val="en-US"/>
        </w:rPr>
        <w:t>P</w:t>
      </w:r>
      <w:r w:rsidRPr="00E5317E">
        <w:rPr>
          <w:i/>
          <w:sz w:val="20"/>
          <w:szCs w:val="20"/>
          <w:lang w:val="en-US"/>
        </w:rPr>
        <w:t>erformance evaluation; world logistics; logistics index.</w:t>
      </w:r>
      <w:proofErr w:type="gramEnd"/>
      <w:r w:rsidR="000372DD" w:rsidRPr="00D03C02">
        <w:rPr>
          <w:sz w:val="20"/>
          <w:szCs w:val="20"/>
          <w:lang w:val="en-US"/>
        </w:rPr>
        <w:t xml:space="preserve"> </w:t>
      </w:r>
    </w:p>
    <w:p w14:paraId="5C314DC6" w14:textId="2316DAB0" w:rsidR="00DE7F46" w:rsidRDefault="000261B1" w:rsidP="00DE7F46">
      <w:pPr>
        <w:spacing w:after="120" w:line="360" w:lineRule="auto"/>
        <w:jc w:val="both"/>
        <w:rPr>
          <w:sz w:val="20"/>
          <w:szCs w:val="20"/>
          <w:lang w:val="en-US"/>
        </w:rPr>
      </w:pPr>
      <w:r>
        <w:rPr>
          <w:sz w:val="20"/>
          <w:szCs w:val="20"/>
        </w:rPr>
        <w:pict w14:anchorId="410CF9C1">
          <v:rect id="_x0000_i1028" style="width:215.4pt;height:1pt" o:hralign="center" o:hrstd="t" o:hrnoshade="t" o:hr="t" fillcolor="black [3213]" stroked="f"/>
        </w:pict>
      </w:r>
    </w:p>
    <w:p w14:paraId="6DFC3B20" w14:textId="4CC15E0B" w:rsidR="00B17632" w:rsidRPr="00E51CB3" w:rsidRDefault="000372DD" w:rsidP="00A27B1F">
      <w:pPr>
        <w:spacing w:after="120" w:line="360" w:lineRule="auto"/>
        <w:jc w:val="both"/>
        <w:rPr>
          <w:rFonts w:ascii="Arial Rounded MT Bold" w:hAnsi="Arial Rounded MT Bold"/>
          <w:sz w:val="20"/>
          <w:szCs w:val="20"/>
        </w:rPr>
      </w:pPr>
      <w:r w:rsidRPr="00D03C02">
        <w:rPr>
          <w:sz w:val="16"/>
          <w:szCs w:val="16"/>
        </w:rPr>
        <w:t xml:space="preserve">Copyright © 2018, Nome do Autor Completo </w:t>
      </w:r>
      <w:proofErr w:type="gramStart"/>
      <w:r w:rsidRPr="00D03C02">
        <w:rPr>
          <w:sz w:val="16"/>
          <w:szCs w:val="16"/>
        </w:rPr>
        <w:t>et</w:t>
      </w:r>
      <w:proofErr w:type="gramEnd"/>
      <w:r w:rsidRPr="00D03C02">
        <w:rPr>
          <w:sz w:val="16"/>
          <w:szCs w:val="16"/>
        </w:rPr>
        <w:t xml:space="preserve"> al. Este é um artigo open </w:t>
      </w:r>
      <w:proofErr w:type="spellStart"/>
      <w:r w:rsidRPr="00D03C02">
        <w:rPr>
          <w:sz w:val="16"/>
          <w:szCs w:val="16"/>
        </w:rPr>
        <w:t>access</w:t>
      </w:r>
      <w:proofErr w:type="spellEnd"/>
      <w:r w:rsidRPr="00D03C02">
        <w:rPr>
          <w:sz w:val="16"/>
          <w:szCs w:val="16"/>
        </w:rPr>
        <w:t xml:space="preserve"> distribuído sob a </w:t>
      </w:r>
      <w:proofErr w:type="spellStart"/>
      <w:r w:rsidRPr="00D03C02">
        <w:rPr>
          <w:sz w:val="16"/>
          <w:szCs w:val="16"/>
        </w:rPr>
        <w:t>Creative</w:t>
      </w:r>
      <w:proofErr w:type="spellEnd"/>
      <w:r w:rsidRPr="00D03C02">
        <w:rPr>
          <w:sz w:val="16"/>
          <w:szCs w:val="16"/>
        </w:rPr>
        <w:t xml:space="preserve"> </w:t>
      </w:r>
      <w:proofErr w:type="spellStart"/>
      <w:r w:rsidRPr="00D03C02">
        <w:rPr>
          <w:sz w:val="16"/>
          <w:szCs w:val="16"/>
        </w:rPr>
        <w:t>Commons</w:t>
      </w:r>
      <w:proofErr w:type="spellEnd"/>
      <w:r w:rsidRPr="00D03C02">
        <w:rPr>
          <w:sz w:val="16"/>
          <w:szCs w:val="16"/>
        </w:rPr>
        <w:t xml:space="preserve"> </w:t>
      </w:r>
      <w:proofErr w:type="spellStart"/>
      <w:r w:rsidRPr="00D03C02">
        <w:rPr>
          <w:sz w:val="16"/>
          <w:szCs w:val="16"/>
        </w:rPr>
        <w:t>Attribution</w:t>
      </w:r>
      <w:proofErr w:type="spellEnd"/>
      <w:r w:rsidRPr="00D03C02">
        <w:rPr>
          <w:sz w:val="16"/>
          <w:szCs w:val="16"/>
        </w:rPr>
        <w:t xml:space="preserve"> </w:t>
      </w:r>
      <w:proofErr w:type="spellStart"/>
      <w:r w:rsidRPr="00D03C02">
        <w:rPr>
          <w:sz w:val="16"/>
          <w:szCs w:val="16"/>
        </w:rPr>
        <w:t>License</w:t>
      </w:r>
      <w:proofErr w:type="spellEnd"/>
      <w:r w:rsidRPr="00D03C02">
        <w:rPr>
          <w:sz w:val="16"/>
          <w:szCs w:val="16"/>
        </w:rPr>
        <w:t>, que permite uso irrestrito, distribuição e reprodução, sempre quando providenciado a devida citação do original. Os autores declaram que o mesmo não infringe qualquer direito autoral ou outro direito de propriedade de terceiros.</w:t>
      </w:r>
      <w:r w:rsidR="0070602A">
        <w:rPr>
          <w:i/>
          <w:sz w:val="16"/>
          <w:szCs w:val="16"/>
        </w:rPr>
        <w:br w:type="textWrapping" w:clear="all"/>
      </w:r>
      <w:r w:rsidR="000261B1">
        <w:rPr>
          <w:sz w:val="20"/>
          <w:szCs w:val="20"/>
        </w:rPr>
        <w:pict w14:anchorId="513C1F59">
          <v:rect id="_x0000_i1026" style="width:215.4pt;height:1pt" o:hralign="center" o:hrstd="t" o:hrnoshade="t" o:hr="t" fillcolor="black [3213]" stroked="f"/>
        </w:pict>
      </w:r>
      <w:r w:rsidR="0070602A">
        <w:rPr>
          <w:rFonts w:ascii="Arial Rounded MT Bold" w:hAnsi="Arial Rounded MT Bold"/>
          <w:sz w:val="20"/>
          <w:szCs w:val="20"/>
        </w:rPr>
        <w:br w:type="column"/>
      </w:r>
      <w:proofErr w:type="gramStart"/>
      <w:r w:rsidR="00B17632">
        <w:rPr>
          <w:rFonts w:ascii="Arial Rounded MT Bold" w:hAnsi="Arial Rounded MT Bold"/>
          <w:sz w:val="20"/>
          <w:szCs w:val="20"/>
        </w:rPr>
        <w:lastRenderedPageBreak/>
        <w:t>RESUMO</w:t>
      </w:r>
      <w:proofErr w:type="gramEnd"/>
    </w:p>
    <w:p w14:paraId="0C2A8FDC" w14:textId="13292B8F" w:rsidR="0070602A" w:rsidRPr="00B054A8" w:rsidRDefault="000261B1" w:rsidP="0070602A">
      <w:pPr>
        <w:pStyle w:val="PargrafodaLista"/>
        <w:pBdr>
          <w:bottom w:val="single" w:sz="4" w:space="1" w:color="auto"/>
        </w:pBdr>
        <w:shd w:val="clear" w:color="auto" w:fill="FFFFFF"/>
        <w:ind w:left="0"/>
        <w:jc w:val="both"/>
        <w:rPr>
          <w:sz w:val="20"/>
          <w:szCs w:val="20"/>
        </w:rPr>
      </w:pPr>
      <w:r>
        <w:rPr>
          <w:sz w:val="20"/>
          <w:szCs w:val="20"/>
        </w:rPr>
        <w:pict w14:anchorId="244014CF">
          <v:rect id="_x0000_i1029" style="width:215.4pt;height:1pt" o:hralign="center" o:hrstd="t" o:hrnoshade="t" o:hr="t" fillcolor="black [3213]" stroked="f"/>
        </w:pict>
      </w:r>
      <w:r w:rsidR="00B054A8" w:rsidRPr="00B054A8">
        <w:rPr>
          <w:rFonts w:eastAsia="Calibri"/>
        </w:rPr>
        <w:t xml:space="preserve"> </w:t>
      </w:r>
      <w:r w:rsidR="00B054A8" w:rsidRPr="00B054A8">
        <w:rPr>
          <w:sz w:val="20"/>
          <w:szCs w:val="20"/>
        </w:rPr>
        <w:t>O presente estudo teve como objetivo a análise do desempenho logístico do Brasil</w:t>
      </w:r>
      <w:r w:rsidR="00B054A8" w:rsidRPr="00B054A8">
        <w:rPr>
          <w:b/>
          <w:sz w:val="20"/>
          <w:szCs w:val="20"/>
        </w:rPr>
        <w:t xml:space="preserve"> </w:t>
      </w:r>
      <w:r w:rsidR="00B054A8" w:rsidRPr="00B054A8">
        <w:rPr>
          <w:sz w:val="20"/>
          <w:szCs w:val="20"/>
        </w:rPr>
        <w:t xml:space="preserve">com base nos relatórios do </w:t>
      </w:r>
      <w:proofErr w:type="spellStart"/>
      <w:r w:rsidR="00B054A8" w:rsidRPr="00B054A8">
        <w:rPr>
          <w:i/>
          <w:sz w:val="20"/>
          <w:szCs w:val="20"/>
        </w:rPr>
        <w:t>Logistics</w:t>
      </w:r>
      <w:proofErr w:type="spellEnd"/>
      <w:r w:rsidR="00B054A8" w:rsidRPr="00B054A8">
        <w:rPr>
          <w:i/>
          <w:sz w:val="20"/>
          <w:szCs w:val="20"/>
        </w:rPr>
        <w:t xml:space="preserve"> </w:t>
      </w:r>
      <w:proofErr w:type="gramStart"/>
      <w:r w:rsidR="00B054A8" w:rsidRPr="00B054A8">
        <w:rPr>
          <w:i/>
          <w:sz w:val="20"/>
          <w:szCs w:val="20"/>
        </w:rPr>
        <w:t>Performance</w:t>
      </w:r>
      <w:proofErr w:type="gramEnd"/>
      <w:r w:rsidR="00B054A8" w:rsidRPr="00B054A8">
        <w:rPr>
          <w:i/>
          <w:sz w:val="20"/>
          <w:szCs w:val="20"/>
        </w:rPr>
        <w:t xml:space="preserve"> Index</w:t>
      </w:r>
      <w:r w:rsidR="00B054A8" w:rsidRPr="00B054A8">
        <w:rPr>
          <w:sz w:val="20"/>
          <w:szCs w:val="20"/>
        </w:rPr>
        <w:t xml:space="preserve"> (LPI) do Banco Mundial. Para dar suporte à análise dos dados em termos de tomada de decisão, foi utilizado método da literatura, que atribui pesos diferenciados para cada dimensão do LPI. Os dados analisados são de relatórios do Banco Mundial de 2007 a 2018. O Brasil apresentou o pior desempenho na dimensão alfândega em todos os anos analisados, sendo necessários investimentos em melhorias nesse sentido, visto que é uma dimensão-chave para competividade do país em comércio internacional. O país destacou-se em termos de desempenho na dimensão pontualidade, que também é considerada relevante em termos de competitividade internacional. Estudos futuros podem ampliar as análises, comparando o desempenho do país com outros grupos, como países da América do Sul ou BRICS, bem como em relação aos seus maiores concorrentes no mercado externo. </w:t>
      </w:r>
    </w:p>
    <w:p w14:paraId="6A34EE55" w14:textId="77777777" w:rsidR="00DE7F46" w:rsidRPr="00B054A8" w:rsidRDefault="00DE7F46" w:rsidP="0070602A">
      <w:pPr>
        <w:pStyle w:val="PargrafodaLista"/>
        <w:pBdr>
          <w:bottom w:val="single" w:sz="4" w:space="1" w:color="auto"/>
        </w:pBdr>
        <w:shd w:val="clear" w:color="auto" w:fill="FFFFFF"/>
        <w:ind w:left="0"/>
        <w:jc w:val="both"/>
        <w:rPr>
          <w:sz w:val="20"/>
          <w:szCs w:val="20"/>
        </w:rPr>
      </w:pPr>
    </w:p>
    <w:p w14:paraId="1D5D527C" w14:textId="77777777" w:rsidR="009F4B53" w:rsidRDefault="009F4B53" w:rsidP="00B17632">
      <w:pPr>
        <w:pStyle w:val="PargrafodaLista"/>
        <w:pBdr>
          <w:bottom w:val="single" w:sz="4" w:space="1" w:color="auto"/>
        </w:pBdr>
        <w:shd w:val="clear" w:color="auto" w:fill="FFFFFF"/>
        <w:spacing w:after="120"/>
        <w:ind w:left="0"/>
        <w:rPr>
          <w:sz w:val="20"/>
          <w:szCs w:val="20"/>
        </w:rPr>
      </w:pPr>
    </w:p>
    <w:p w14:paraId="20322CE6" w14:textId="77777777" w:rsidR="009F4B53" w:rsidRDefault="009F4B53" w:rsidP="00B17632">
      <w:pPr>
        <w:pStyle w:val="PargrafodaLista"/>
        <w:pBdr>
          <w:bottom w:val="single" w:sz="4" w:space="1" w:color="auto"/>
        </w:pBdr>
        <w:shd w:val="clear" w:color="auto" w:fill="FFFFFF"/>
        <w:spacing w:after="120"/>
        <w:ind w:left="0"/>
        <w:rPr>
          <w:sz w:val="20"/>
          <w:szCs w:val="20"/>
        </w:rPr>
      </w:pPr>
    </w:p>
    <w:p w14:paraId="3FF142D4" w14:textId="77777777" w:rsidR="009F4B53" w:rsidRDefault="009F4B53" w:rsidP="00B17632">
      <w:pPr>
        <w:pStyle w:val="PargrafodaLista"/>
        <w:pBdr>
          <w:bottom w:val="single" w:sz="4" w:space="1" w:color="auto"/>
        </w:pBdr>
        <w:shd w:val="clear" w:color="auto" w:fill="FFFFFF"/>
        <w:spacing w:after="120"/>
        <w:ind w:left="0"/>
        <w:rPr>
          <w:sz w:val="20"/>
          <w:szCs w:val="20"/>
        </w:rPr>
      </w:pPr>
    </w:p>
    <w:p w14:paraId="259D9F9A" w14:textId="77777777" w:rsidR="009F4B53" w:rsidRDefault="009F4B53" w:rsidP="00B17632">
      <w:pPr>
        <w:pStyle w:val="PargrafodaLista"/>
        <w:pBdr>
          <w:bottom w:val="single" w:sz="4" w:space="1" w:color="auto"/>
        </w:pBdr>
        <w:shd w:val="clear" w:color="auto" w:fill="FFFFFF"/>
        <w:spacing w:after="120"/>
        <w:ind w:left="0"/>
        <w:rPr>
          <w:sz w:val="20"/>
          <w:szCs w:val="20"/>
        </w:rPr>
      </w:pPr>
    </w:p>
    <w:p w14:paraId="010ADE0D" w14:textId="35D3E74D" w:rsidR="000372DD" w:rsidRPr="00B054A8" w:rsidRDefault="000372DD" w:rsidP="00B17632">
      <w:pPr>
        <w:pStyle w:val="PargrafodaLista"/>
        <w:pBdr>
          <w:bottom w:val="single" w:sz="4" w:space="1" w:color="auto"/>
        </w:pBdr>
        <w:shd w:val="clear" w:color="auto" w:fill="FFFFFF"/>
        <w:spacing w:after="120"/>
        <w:ind w:left="0"/>
        <w:rPr>
          <w:rFonts w:ascii="Arial Rounded MT Bold" w:hAnsi="Arial Rounded MT Bold"/>
          <w:sz w:val="20"/>
          <w:szCs w:val="20"/>
        </w:rPr>
      </w:pPr>
      <w:r w:rsidRPr="00B054A8">
        <w:rPr>
          <w:rFonts w:ascii="Arial Rounded MT Bold" w:hAnsi="Arial Rounded MT Bold"/>
          <w:sz w:val="20"/>
          <w:szCs w:val="20"/>
        </w:rPr>
        <w:lastRenderedPageBreak/>
        <w:t>ABSTRACT</w:t>
      </w:r>
    </w:p>
    <w:p w14:paraId="32EDEC41" w14:textId="3293071A" w:rsidR="000372DD" w:rsidRPr="00B054A8" w:rsidRDefault="00B054A8" w:rsidP="00D03C02">
      <w:pPr>
        <w:jc w:val="both"/>
        <w:rPr>
          <w:sz w:val="20"/>
          <w:szCs w:val="20"/>
          <w:lang w:val="en-US"/>
        </w:rPr>
      </w:pPr>
      <w:r w:rsidRPr="00B054A8">
        <w:rPr>
          <w:i/>
          <w:sz w:val="20"/>
          <w:szCs w:val="20"/>
          <w:lang w:val="en-US"/>
        </w:rPr>
        <w:t xml:space="preserve">The present study aimed to analyze the logistic performance of Brazil based on the World Bank's Logistics Performance Index (LPI) reports. A literature method was used to support the analysis of the data regarding decision making, which assigns differentiated weights for each dimension of the LPI. The data analyzed are from World Bank reports from 2007 to 2018. Brazil presented the worst performance in the customs dimension in all the years analyzed, and investments in improvements are necessary for this sense since it is a crucial dimension for the country's competitiveness in trade International. Brazil has stood out regarding performance in the punctuality dimension, which is also considered relevant concerning international competitiveness. Future studies can broaden the </w:t>
      </w:r>
      <w:r w:rsidRPr="00B054A8">
        <w:rPr>
          <w:i/>
          <w:sz w:val="20"/>
          <w:szCs w:val="20"/>
          <w:lang w:val="en-US"/>
        </w:rPr>
        <w:lastRenderedPageBreak/>
        <w:t>analysis by comparing the country's performance with other groups, such as South American or BRICS countries, as well as its most significant competitors in the foreign market.</w:t>
      </w:r>
    </w:p>
    <w:p w14:paraId="6ECB6690" w14:textId="77777777" w:rsidR="0070602A" w:rsidRDefault="0070602A" w:rsidP="004C353E">
      <w:pPr>
        <w:jc w:val="both"/>
        <w:rPr>
          <w:sz w:val="20"/>
          <w:szCs w:val="20"/>
          <w:lang w:val="en-US"/>
        </w:rPr>
      </w:pPr>
    </w:p>
    <w:p w14:paraId="28FEC273" w14:textId="77777777" w:rsidR="00DE7F46" w:rsidRDefault="00DE7F46" w:rsidP="004C353E">
      <w:pPr>
        <w:jc w:val="both"/>
        <w:rPr>
          <w:sz w:val="20"/>
          <w:szCs w:val="20"/>
          <w:lang w:val="en-US"/>
        </w:rPr>
      </w:pPr>
    </w:p>
    <w:p w14:paraId="7D0B7909" w14:textId="77777777" w:rsidR="004C353E" w:rsidRDefault="004C353E" w:rsidP="004C353E">
      <w:pPr>
        <w:jc w:val="both"/>
        <w:rPr>
          <w:sz w:val="20"/>
          <w:szCs w:val="20"/>
          <w:lang w:val="en-US"/>
        </w:rPr>
      </w:pPr>
    </w:p>
    <w:p w14:paraId="3C2F56F0" w14:textId="77777777" w:rsidR="004C353E" w:rsidRDefault="004C353E" w:rsidP="004C353E">
      <w:pPr>
        <w:jc w:val="both"/>
        <w:rPr>
          <w:sz w:val="20"/>
          <w:szCs w:val="20"/>
          <w:lang w:val="en-US"/>
        </w:rPr>
      </w:pPr>
    </w:p>
    <w:p w14:paraId="235CE71E" w14:textId="77777777" w:rsidR="004C353E" w:rsidRDefault="004C353E" w:rsidP="004C353E">
      <w:pPr>
        <w:jc w:val="both"/>
        <w:rPr>
          <w:sz w:val="20"/>
          <w:szCs w:val="20"/>
          <w:lang w:val="en-US"/>
        </w:rPr>
      </w:pPr>
    </w:p>
    <w:p w14:paraId="3E1B23D2" w14:textId="77777777" w:rsidR="004C353E" w:rsidRDefault="004C353E" w:rsidP="004C353E">
      <w:pPr>
        <w:jc w:val="both"/>
        <w:rPr>
          <w:sz w:val="20"/>
          <w:szCs w:val="20"/>
          <w:lang w:val="en-US"/>
        </w:rPr>
      </w:pPr>
    </w:p>
    <w:p w14:paraId="3239F26D" w14:textId="77777777" w:rsidR="004C353E" w:rsidRDefault="004C353E" w:rsidP="004C353E">
      <w:pPr>
        <w:jc w:val="both"/>
        <w:rPr>
          <w:sz w:val="20"/>
          <w:szCs w:val="20"/>
          <w:lang w:val="en-US"/>
        </w:rPr>
      </w:pPr>
    </w:p>
    <w:p w14:paraId="74160FD8" w14:textId="77777777" w:rsidR="004C353E" w:rsidRDefault="004C353E" w:rsidP="004C353E">
      <w:pPr>
        <w:jc w:val="both"/>
        <w:rPr>
          <w:sz w:val="20"/>
          <w:szCs w:val="20"/>
          <w:lang w:val="en-US"/>
        </w:rPr>
      </w:pPr>
    </w:p>
    <w:p w14:paraId="0D6ABFEB" w14:textId="77777777" w:rsidR="004C353E" w:rsidRDefault="004C353E" w:rsidP="004C353E">
      <w:pPr>
        <w:jc w:val="both"/>
        <w:rPr>
          <w:sz w:val="20"/>
          <w:szCs w:val="20"/>
          <w:lang w:val="en-US"/>
        </w:rPr>
      </w:pPr>
    </w:p>
    <w:p w14:paraId="7F271B03" w14:textId="77777777" w:rsidR="004C353E" w:rsidRDefault="004C353E" w:rsidP="004C353E">
      <w:pPr>
        <w:jc w:val="both"/>
        <w:rPr>
          <w:sz w:val="20"/>
          <w:szCs w:val="20"/>
          <w:lang w:val="en-US"/>
        </w:rPr>
      </w:pPr>
    </w:p>
    <w:p w14:paraId="1A443C86" w14:textId="77777777" w:rsidR="004C353E" w:rsidRDefault="004C353E" w:rsidP="004C353E">
      <w:pPr>
        <w:jc w:val="both"/>
        <w:rPr>
          <w:sz w:val="20"/>
          <w:szCs w:val="20"/>
          <w:lang w:val="en-US"/>
        </w:rPr>
      </w:pPr>
    </w:p>
    <w:p w14:paraId="50766CB3" w14:textId="77777777" w:rsidR="00DE7F46" w:rsidRDefault="00DE7F46" w:rsidP="004C353E">
      <w:pPr>
        <w:jc w:val="both"/>
        <w:rPr>
          <w:sz w:val="20"/>
          <w:szCs w:val="20"/>
          <w:lang w:val="en-US"/>
        </w:rPr>
      </w:pPr>
    </w:p>
    <w:p w14:paraId="73C75CE2" w14:textId="77777777" w:rsidR="0070602A" w:rsidRDefault="0070602A" w:rsidP="004C353E">
      <w:pPr>
        <w:jc w:val="both"/>
        <w:rPr>
          <w:sz w:val="20"/>
          <w:szCs w:val="20"/>
          <w:lang w:val="en-US"/>
        </w:rPr>
      </w:pPr>
    </w:p>
    <w:p w14:paraId="546B4499" w14:textId="77777777" w:rsidR="000372DD" w:rsidRDefault="000372DD" w:rsidP="000372DD">
      <w:pPr>
        <w:spacing w:after="120"/>
        <w:jc w:val="both"/>
        <w:rPr>
          <w:i/>
          <w:lang w:val="en-US"/>
        </w:rPr>
        <w:sectPr w:rsidR="000372DD" w:rsidSect="000372DD">
          <w:headerReference w:type="even" r:id="rId13"/>
          <w:headerReference w:type="default" r:id="rId14"/>
          <w:type w:val="continuous"/>
          <w:pgSz w:w="11907" w:h="16839" w:code="9"/>
          <w:pgMar w:top="1418" w:right="1418" w:bottom="1418" w:left="1418" w:header="709" w:footer="709" w:gutter="0"/>
          <w:cols w:num="2" w:space="454"/>
          <w:titlePg/>
          <w:docGrid w:linePitch="326"/>
        </w:sectPr>
      </w:pPr>
    </w:p>
    <w:p w14:paraId="2C185979" w14:textId="015E8388" w:rsidR="0070602A" w:rsidRPr="00371301" w:rsidRDefault="000261B1" w:rsidP="0070602A">
      <w:pPr>
        <w:outlineLvl w:val="0"/>
      </w:pPr>
      <w:r>
        <w:rPr>
          <w:sz w:val="20"/>
          <w:szCs w:val="20"/>
        </w:rPr>
        <w:lastRenderedPageBreak/>
        <w:pict w14:anchorId="639E34E3">
          <v:rect id="_x0000_i1027" style="width:215.4pt;height:1pt" o:hralign="center" o:hrstd="t" o:hrnoshade="t" o:hr="t" fillcolor="black [3213]" stroked="f"/>
        </w:pict>
      </w:r>
    </w:p>
    <w:p w14:paraId="3768C797" w14:textId="2B008F98" w:rsidR="009F4B53" w:rsidRDefault="00BD0DC4" w:rsidP="009F4B53">
      <w:pPr>
        <w:tabs>
          <w:tab w:val="left" w:pos="1758"/>
        </w:tabs>
        <w:spacing w:after="120"/>
        <w:jc w:val="both"/>
        <w:outlineLvl w:val="0"/>
        <w:rPr>
          <w:b/>
          <w:smallCaps/>
        </w:rPr>
      </w:pPr>
      <w:r w:rsidRPr="00A204C7">
        <w:rPr>
          <w:b/>
          <w:smallCaps/>
        </w:rPr>
        <w:t>I</w:t>
      </w:r>
      <w:r w:rsidR="00975F84" w:rsidRPr="00A204C7">
        <w:rPr>
          <w:b/>
          <w:smallCaps/>
        </w:rPr>
        <w:t>nt</w:t>
      </w:r>
      <w:r w:rsidR="006C01AF" w:rsidRPr="00A204C7">
        <w:rPr>
          <w:b/>
          <w:smallCaps/>
        </w:rPr>
        <w:t>rodução</w:t>
      </w:r>
      <w:r w:rsidR="009F4B53">
        <w:rPr>
          <w:b/>
          <w:smallCaps/>
        </w:rPr>
        <w:tab/>
      </w:r>
    </w:p>
    <w:p w14:paraId="19965F2E" w14:textId="77777777" w:rsidR="000E648F" w:rsidRPr="000E648F" w:rsidRDefault="000E648F" w:rsidP="009F4B53">
      <w:pPr>
        <w:spacing w:after="120" w:line="360" w:lineRule="auto"/>
        <w:jc w:val="both"/>
      </w:pPr>
      <w:r w:rsidRPr="000E648F">
        <w:t xml:space="preserve">A logística tornou-se elemento-chave para o comércio internacional e para a competitividade dos países devido à globalização e o aumento nos fluxos de negócios (MARTÍ </w:t>
      </w:r>
      <w:proofErr w:type="gramStart"/>
      <w:r w:rsidRPr="000E648F">
        <w:rPr>
          <w:i/>
        </w:rPr>
        <w:t>et</w:t>
      </w:r>
      <w:proofErr w:type="gramEnd"/>
      <w:r w:rsidRPr="000E648F">
        <w:rPr>
          <w:i/>
        </w:rPr>
        <w:t xml:space="preserve"> al</w:t>
      </w:r>
      <w:r w:rsidRPr="000E648F">
        <w:t xml:space="preserve">., 2014). O desenvolvimento e a prestação de serviços logísticos variam de país para país e depende de uma série de fatores internos e externos. Além disso, as operações de comércio e transporte envolvem diversos atores do setor público e privado (YU; HSIAO, 2016; MEMEDOVIC </w:t>
      </w:r>
      <w:proofErr w:type="gramStart"/>
      <w:r w:rsidRPr="000E648F">
        <w:rPr>
          <w:i/>
        </w:rPr>
        <w:t>et</w:t>
      </w:r>
      <w:proofErr w:type="gramEnd"/>
      <w:r w:rsidRPr="000E648F">
        <w:rPr>
          <w:i/>
        </w:rPr>
        <w:t xml:space="preserve"> al</w:t>
      </w:r>
      <w:r w:rsidRPr="000E648F">
        <w:t xml:space="preserve">., 2008; WANG </w:t>
      </w:r>
      <w:r w:rsidRPr="000E648F">
        <w:rPr>
          <w:i/>
        </w:rPr>
        <w:t>et al</w:t>
      </w:r>
      <w:r w:rsidRPr="000E648F">
        <w:t>., 2018).</w:t>
      </w:r>
      <w:r w:rsidRPr="000E648F">
        <w:rPr>
          <w:i/>
        </w:rPr>
        <w:t xml:space="preserve"> </w:t>
      </w:r>
      <w:r w:rsidRPr="000E648F">
        <w:t xml:space="preserve">Serviços logísticos eficientes facilitam a mobilidade, são seguros e rápidos, além de eficientes em termos de custos associados. Em contraste, serviços logísticos ineficientes resultam em custos elevados em termos de dinheiro e tempo, afetando o volume de negócios entre países e a nível nacional, bem como trazendo prejuízos para empresas. Assim, o bom desempenho logístico é fundamental para o crescimento econômico de um país e para a competitividade de empresas e economias (EKICI </w:t>
      </w:r>
      <w:proofErr w:type="gramStart"/>
      <w:r w:rsidRPr="000E648F">
        <w:rPr>
          <w:i/>
        </w:rPr>
        <w:t>et</w:t>
      </w:r>
      <w:proofErr w:type="gramEnd"/>
      <w:r w:rsidRPr="000E648F">
        <w:rPr>
          <w:i/>
        </w:rPr>
        <w:t xml:space="preserve"> al</w:t>
      </w:r>
      <w:r w:rsidRPr="000E648F">
        <w:t xml:space="preserve">., 2016; MARTÍ </w:t>
      </w:r>
      <w:r w:rsidRPr="000E648F">
        <w:rPr>
          <w:i/>
        </w:rPr>
        <w:t>et al</w:t>
      </w:r>
      <w:r w:rsidRPr="000E648F">
        <w:t xml:space="preserve">., 2014; MARIANO </w:t>
      </w:r>
      <w:r w:rsidRPr="000E648F">
        <w:rPr>
          <w:i/>
        </w:rPr>
        <w:t>et al</w:t>
      </w:r>
      <w:r w:rsidRPr="000E648F">
        <w:t>., 2017).</w:t>
      </w:r>
    </w:p>
    <w:p w14:paraId="38CE2FF1" w14:textId="77777777" w:rsidR="000E648F" w:rsidRPr="000E648F" w:rsidRDefault="000E648F" w:rsidP="000E648F">
      <w:pPr>
        <w:spacing w:after="120" w:line="360" w:lineRule="auto"/>
        <w:jc w:val="both"/>
      </w:pPr>
      <w:r w:rsidRPr="000E648F">
        <w:t>Na última década o Índice de Desempenho Logístico (</w:t>
      </w:r>
      <w:proofErr w:type="spellStart"/>
      <w:r w:rsidRPr="000E648F">
        <w:rPr>
          <w:i/>
        </w:rPr>
        <w:t>Logistics</w:t>
      </w:r>
      <w:proofErr w:type="spellEnd"/>
      <w:r w:rsidRPr="000E648F">
        <w:rPr>
          <w:i/>
        </w:rPr>
        <w:t xml:space="preserve"> </w:t>
      </w:r>
      <w:proofErr w:type="gramStart"/>
      <w:r w:rsidRPr="000E648F">
        <w:rPr>
          <w:i/>
        </w:rPr>
        <w:t>Performance</w:t>
      </w:r>
      <w:proofErr w:type="gramEnd"/>
      <w:r w:rsidRPr="000E648F">
        <w:rPr>
          <w:i/>
        </w:rPr>
        <w:t xml:space="preserve"> Index</w:t>
      </w:r>
      <w:r w:rsidRPr="000E648F">
        <w:t xml:space="preserve"> - LPI), publicado pelo Banco Mundial em 2007, 2010, 2012, 2014, 2016 e 2018, é amplamente utilizado como apoio para tomada de decisão sobre logística e transporte de cargas em nível político e econômico (REZAEI </w:t>
      </w:r>
      <w:r w:rsidRPr="000E648F">
        <w:rPr>
          <w:i/>
        </w:rPr>
        <w:t>et al</w:t>
      </w:r>
      <w:r w:rsidRPr="000E648F">
        <w:t xml:space="preserve">, 2018). O índice avalia o desempenho dos países em termos de facilitação do comércio, permite que as principais diferenças entre os países sejam analisadas, com uma visão geral sobre procedimentos alfandegários, custos logísticos, qualidade da infraestrutura necessária para o transporte terrestre e marítimo (MARTÍ </w:t>
      </w:r>
      <w:proofErr w:type="gramStart"/>
      <w:r w:rsidRPr="000E648F">
        <w:rPr>
          <w:i/>
        </w:rPr>
        <w:t>et</w:t>
      </w:r>
      <w:proofErr w:type="gramEnd"/>
      <w:r w:rsidRPr="000E648F">
        <w:rPr>
          <w:i/>
        </w:rPr>
        <w:t xml:space="preserve"> al</w:t>
      </w:r>
      <w:r w:rsidRPr="000E648F">
        <w:t xml:space="preserve">., 2014). O LPI é uma ferramenta de </w:t>
      </w:r>
      <w:r w:rsidRPr="000E648F">
        <w:rPr>
          <w:i/>
        </w:rPr>
        <w:t>benchmarking</w:t>
      </w:r>
      <w:r w:rsidRPr="000E648F">
        <w:t xml:space="preserve"> de alcance global, que mede o desempenho do comércio e transporte de um país em particular (ARVIS </w:t>
      </w:r>
      <w:proofErr w:type="gramStart"/>
      <w:r w:rsidRPr="000E648F">
        <w:rPr>
          <w:i/>
        </w:rPr>
        <w:t>et</w:t>
      </w:r>
      <w:proofErr w:type="gramEnd"/>
      <w:r w:rsidRPr="000E648F">
        <w:rPr>
          <w:i/>
        </w:rPr>
        <w:t xml:space="preserve"> al</w:t>
      </w:r>
      <w:r w:rsidRPr="000E648F">
        <w:t xml:space="preserve">., 2007; 2010; KIM; MIN, </w:t>
      </w:r>
      <w:r w:rsidRPr="000E648F">
        <w:lastRenderedPageBreak/>
        <w:t xml:space="preserve">2011). Os resultados do LPI são baseados nas percepções de uma ampla gama de fornecedores e compradores de logística de todo o mundo (MEMEDOVIC </w:t>
      </w:r>
      <w:proofErr w:type="gramStart"/>
      <w:r w:rsidRPr="000E648F">
        <w:rPr>
          <w:i/>
        </w:rPr>
        <w:t>et</w:t>
      </w:r>
      <w:proofErr w:type="gramEnd"/>
      <w:r w:rsidRPr="000E648F">
        <w:rPr>
          <w:i/>
        </w:rPr>
        <w:t xml:space="preserve"> al</w:t>
      </w:r>
      <w:r w:rsidRPr="000E648F">
        <w:t>., 2008).</w:t>
      </w:r>
    </w:p>
    <w:p w14:paraId="59120E49" w14:textId="77777777" w:rsidR="000E648F" w:rsidRPr="000E648F" w:rsidRDefault="000E648F" w:rsidP="000E648F">
      <w:pPr>
        <w:spacing w:after="120" w:line="360" w:lineRule="auto"/>
        <w:jc w:val="both"/>
      </w:pPr>
      <w:r w:rsidRPr="000E648F">
        <w:t xml:space="preserve">O Brasil está entre os maiores exportadores e importadores do mundo, mas vem perdendo posições de acordo com a Organização Mundial do Comércio (OMC). O país passou a 26ª posição em 2017 entre os maiores exportadores do mundo, sendo que chegou a ocupar a 22ª posição em 2011. Entre os maiores importadores do mundo, o país também perdeu uma posição em relação a 2016, e ocupa a 29ª em 2017, que é o pior resultado do país no ranking desde 2003, quando o país chegou a 30ª posição (IEDI, 2017; WTO, 2018). No entanto, o FMI prevê crescimento de 2,3% em 2018 e 2,5% em 2019, que ainda são valores aquém da média global, prevista para 3,7% e da média dos países emergentes, prevista em 5% (FMI, 2018). O desenvolvimento econômico do Brasil depende de seu desempenho nas relações comerciais internas e de comércio exterior. Nesse sentido, cabem investimentos e pesquisa em questões-chave que possam auxiliar na formulação de políticas, como o desempenho logístico do país (FARIA </w:t>
      </w:r>
      <w:proofErr w:type="gramStart"/>
      <w:r w:rsidRPr="000E648F">
        <w:rPr>
          <w:i/>
        </w:rPr>
        <w:t>et</w:t>
      </w:r>
      <w:proofErr w:type="gramEnd"/>
      <w:r w:rsidRPr="000E648F">
        <w:rPr>
          <w:i/>
        </w:rPr>
        <w:t xml:space="preserve"> al</w:t>
      </w:r>
      <w:r w:rsidRPr="000E648F">
        <w:t xml:space="preserve">., 2015; KABAK </w:t>
      </w:r>
      <w:r w:rsidRPr="000E648F">
        <w:rPr>
          <w:i/>
        </w:rPr>
        <w:t>et al</w:t>
      </w:r>
      <w:r w:rsidRPr="000E648F">
        <w:t xml:space="preserve">., 2018; MARTÍ; PUERTAS, 2017; MORINI </w:t>
      </w:r>
      <w:r w:rsidRPr="000E648F">
        <w:rPr>
          <w:i/>
        </w:rPr>
        <w:t>et al</w:t>
      </w:r>
      <w:r w:rsidRPr="000E648F">
        <w:t xml:space="preserve">., 2015). </w:t>
      </w:r>
    </w:p>
    <w:p w14:paraId="100B52B4" w14:textId="4F9179FB" w:rsidR="009F4B53" w:rsidRDefault="000E648F" w:rsidP="00240E4C">
      <w:pPr>
        <w:spacing w:after="120" w:line="360" w:lineRule="auto"/>
        <w:jc w:val="both"/>
      </w:pPr>
      <w:r w:rsidRPr="000E648F">
        <w:t xml:space="preserve">Apesar da importância da logística sob a perspectiva das nações, poucos estudos abordam o tema, sendo necessárias mais pesquisas nesse sentido (EKICI </w:t>
      </w:r>
      <w:proofErr w:type="gramStart"/>
      <w:r w:rsidRPr="000E648F">
        <w:rPr>
          <w:i/>
        </w:rPr>
        <w:t>et</w:t>
      </w:r>
      <w:proofErr w:type="gramEnd"/>
      <w:r w:rsidRPr="000E648F">
        <w:rPr>
          <w:i/>
        </w:rPr>
        <w:t xml:space="preserve"> al</w:t>
      </w:r>
      <w:r w:rsidRPr="000E648F">
        <w:t xml:space="preserve">., 2016). O objetivo desta pesquisa é analisar o desempenho logístico do Brasil, com base no Índice de Desempenho Logístico do Banco Mundial (LPI), buscando identificar as questões-chave para a tomada de decisão nesse sentido. As análises consideram os resultados divulgados entre 2007 e 2018, enfatizando o desempenho em cada indicador do índice, bem como seu resultado global no período. Ainda, este estudo compara os resultados do país pela perspectiva metodológica do LPI, bem como pelo método sugerido em </w:t>
      </w:r>
      <w:proofErr w:type="spellStart"/>
      <w:r w:rsidRPr="000E648F">
        <w:t>Rezaei</w:t>
      </w:r>
      <w:proofErr w:type="spellEnd"/>
      <w:r w:rsidRPr="000E648F">
        <w:t xml:space="preserve"> </w:t>
      </w:r>
      <w:proofErr w:type="gramStart"/>
      <w:r w:rsidRPr="000E648F">
        <w:rPr>
          <w:i/>
        </w:rPr>
        <w:t>et</w:t>
      </w:r>
      <w:proofErr w:type="gramEnd"/>
      <w:r w:rsidRPr="000E648F">
        <w:rPr>
          <w:i/>
        </w:rPr>
        <w:t xml:space="preserve"> al</w:t>
      </w:r>
      <w:r w:rsidRPr="000E648F">
        <w:t xml:space="preserve">. (2018), que considera pesos diferentes para cada indicador que compõem o LPI, priorizando as áreas que são críticas para tomada de decisão em logística internacional. O desenvolvimento da pesquisa compreendeu uma revisão da literatura sobre o LPI, que é apresentada no capítulo 2, bem como a análise dos dados de desempenho do Brasil no LPI, conforme relatórios do Banco Mundial de 2007 a 2018. </w:t>
      </w:r>
    </w:p>
    <w:p w14:paraId="2C50C450" w14:textId="77777777" w:rsidR="00B12F42" w:rsidRPr="000E648F" w:rsidRDefault="00B12F42" w:rsidP="00240E4C">
      <w:pPr>
        <w:spacing w:after="120" w:line="360" w:lineRule="auto"/>
        <w:jc w:val="both"/>
      </w:pPr>
    </w:p>
    <w:p w14:paraId="20AABD6B" w14:textId="1B018221" w:rsidR="000E648F" w:rsidRDefault="000E648F" w:rsidP="000E648F">
      <w:pPr>
        <w:spacing w:after="120"/>
        <w:jc w:val="both"/>
        <w:outlineLvl w:val="0"/>
        <w:rPr>
          <w:b/>
          <w:smallCaps/>
        </w:rPr>
      </w:pPr>
      <w:r>
        <w:rPr>
          <w:b/>
          <w:smallCaps/>
        </w:rPr>
        <w:t>Referencial Teórico</w:t>
      </w:r>
    </w:p>
    <w:p w14:paraId="23E9EDB4" w14:textId="77777777" w:rsidR="009F4B53" w:rsidRDefault="009F4B53" w:rsidP="000E648F">
      <w:pPr>
        <w:spacing w:after="120"/>
        <w:jc w:val="both"/>
        <w:outlineLvl w:val="0"/>
        <w:rPr>
          <w:b/>
          <w:smallCaps/>
        </w:rPr>
      </w:pPr>
    </w:p>
    <w:p w14:paraId="1C86E829" w14:textId="77777777" w:rsidR="000E648F" w:rsidRPr="000E648F" w:rsidRDefault="000E648F" w:rsidP="000E648F">
      <w:pPr>
        <w:spacing w:after="120"/>
        <w:outlineLvl w:val="0"/>
        <w:rPr>
          <w:b/>
          <w:bCs/>
          <w:i/>
          <w:smallCaps/>
          <w:spacing w:val="5"/>
        </w:rPr>
      </w:pPr>
      <w:r>
        <w:rPr>
          <w:rStyle w:val="TtulodoLivro"/>
        </w:rPr>
        <w:t xml:space="preserve">2.1 </w:t>
      </w:r>
      <w:proofErr w:type="spellStart"/>
      <w:r w:rsidRPr="000E648F">
        <w:rPr>
          <w:b/>
          <w:bCs/>
          <w:i/>
          <w:smallCaps/>
          <w:spacing w:val="5"/>
        </w:rPr>
        <w:t>Logistics</w:t>
      </w:r>
      <w:proofErr w:type="spellEnd"/>
      <w:r w:rsidRPr="000E648F">
        <w:rPr>
          <w:b/>
          <w:bCs/>
          <w:i/>
          <w:smallCaps/>
          <w:spacing w:val="5"/>
        </w:rPr>
        <w:t xml:space="preserve"> </w:t>
      </w:r>
      <w:proofErr w:type="gramStart"/>
      <w:r w:rsidRPr="000E648F">
        <w:rPr>
          <w:b/>
          <w:bCs/>
          <w:i/>
          <w:smallCaps/>
          <w:spacing w:val="5"/>
        </w:rPr>
        <w:t>Performance</w:t>
      </w:r>
      <w:proofErr w:type="gramEnd"/>
      <w:r w:rsidRPr="000E648F">
        <w:rPr>
          <w:b/>
          <w:bCs/>
          <w:i/>
          <w:smallCaps/>
          <w:spacing w:val="5"/>
        </w:rPr>
        <w:t xml:space="preserve"> Index</w:t>
      </w:r>
    </w:p>
    <w:p w14:paraId="1B86D5D2" w14:textId="77777777" w:rsidR="000E648F" w:rsidRPr="000E648F" w:rsidRDefault="000E648F" w:rsidP="00240E4C">
      <w:pPr>
        <w:spacing w:after="120" w:line="360" w:lineRule="auto"/>
        <w:jc w:val="both"/>
      </w:pPr>
      <w:r w:rsidRPr="000E648F">
        <w:t xml:space="preserve">O LPI surgiu de uma parceria entre o Banco Mundial e membros da academia, que são especialistas em logística (KIM; MIN, 2011). O índice é baseado em uma pesquisa mundial </w:t>
      </w:r>
      <w:r w:rsidRPr="000E648F">
        <w:lastRenderedPageBreak/>
        <w:t xml:space="preserve">realizada em empresas responsáveis pelo transporte de mercadorias e pela facilitação do comércio global (MARTÍ </w:t>
      </w:r>
      <w:proofErr w:type="gramStart"/>
      <w:r w:rsidRPr="00240E4C">
        <w:rPr>
          <w:i/>
        </w:rPr>
        <w:t>et</w:t>
      </w:r>
      <w:proofErr w:type="gramEnd"/>
      <w:r w:rsidRPr="00240E4C">
        <w:rPr>
          <w:i/>
        </w:rPr>
        <w:t xml:space="preserve"> al</w:t>
      </w:r>
      <w:r w:rsidRPr="000E648F">
        <w:t xml:space="preserve">., 2014). Os indicadores que o compõem foram selecionados com base em entrevistas com profissionais de logística internacional de cargas (MEMEDOVIC </w:t>
      </w:r>
      <w:proofErr w:type="gramStart"/>
      <w:r w:rsidRPr="00240E4C">
        <w:rPr>
          <w:i/>
        </w:rPr>
        <w:t>et</w:t>
      </w:r>
      <w:proofErr w:type="gramEnd"/>
      <w:r w:rsidRPr="00240E4C">
        <w:rPr>
          <w:i/>
        </w:rPr>
        <w:t xml:space="preserve"> al</w:t>
      </w:r>
      <w:r w:rsidRPr="000E648F">
        <w:t xml:space="preserve">., 2008).  </w:t>
      </w:r>
    </w:p>
    <w:p w14:paraId="1EC59083" w14:textId="77777777" w:rsidR="000E648F" w:rsidRPr="000E648F" w:rsidRDefault="000E648F" w:rsidP="00240E4C">
      <w:pPr>
        <w:spacing w:after="120" w:line="360" w:lineRule="auto"/>
        <w:jc w:val="both"/>
      </w:pPr>
      <w:r w:rsidRPr="000E648F">
        <w:t xml:space="preserve">O LPI é baseado em informações de um questionário online preenchido por profissionais de logística de todo o mundo - os operadores ou agentes dos maiores provedores de serviços logísticos do mundo (ARVIS </w:t>
      </w:r>
      <w:proofErr w:type="gramStart"/>
      <w:r w:rsidRPr="00240E4C">
        <w:rPr>
          <w:i/>
        </w:rPr>
        <w:t>et</w:t>
      </w:r>
      <w:proofErr w:type="gramEnd"/>
      <w:r w:rsidRPr="00240E4C">
        <w:rPr>
          <w:i/>
        </w:rPr>
        <w:t xml:space="preserve"> al</w:t>
      </w:r>
      <w:r w:rsidRPr="000E648F">
        <w:t xml:space="preserve">., 2007). Entre os entrevistados na edição de 2018, 62% estão em países de baixa ou média renda, sendo 3% e 59% respectivamente. Esses valores são semelhantes ao relatório de 2016, mas com aumento na participação de respondentes dos países de renda média alta. A baixa representatividade de países de baixa renda é atribuída ao seu papel marginal no comércio mundial e à dificuldade de comunicação efetiva com os operadores locais (ARVIS </w:t>
      </w:r>
      <w:proofErr w:type="gramStart"/>
      <w:r w:rsidRPr="00240E4C">
        <w:rPr>
          <w:i/>
        </w:rPr>
        <w:t>et</w:t>
      </w:r>
      <w:proofErr w:type="gramEnd"/>
      <w:r w:rsidRPr="00240E4C">
        <w:rPr>
          <w:i/>
        </w:rPr>
        <w:t xml:space="preserve"> al</w:t>
      </w:r>
      <w:r w:rsidRPr="000E648F">
        <w:t xml:space="preserve">., 2016; 2018). </w:t>
      </w:r>
    </w:p>
    <w:p w14:paraId="1C45C669" w14:textId="77777777" w:rsidR="000E648F" w:rsidRPr="000E648F" w:rsidRDefault="000E648F" w:rsidP="00240E4C">
      <w:pPr>
        <w:spacing w:after="120" w:line="360" w:lineRule="auto"/>
        <w:jc w:val="both"/>
      </w:pPr>
      <w:r w:rsidRPr="000E648F">
        <w:t xml:space="preserve">O LPI é um índice composto que combina dados de seis componentes principais, conforme figura 1, utilizando-se a análise de componentes principais (PCA), que é uma técnica estatística padrão usado para reduzir a dimensionalidade de um conjunto de dados. As pontuações médias nos diferentes componentes compõem a pontuação geral do LPI, que é usada para produzir a classificação. No caso de os respondentes não fornecerem informações para todos os seis componentes, utiliza-se a interpolação para preencher esses dados. Nos casos em que não há resposta, os valores omissos são substituídos pela resposta média do país para cada pergunta, ajustada pelo desvio médio do respondente em relação à média do país nas perguntas respondidas. As pontuações variam de 1 a 5, sendo </w:t>
      </w:r>
      <w:proofErr w:type="gramStart"/>
      <w:r w:rsidRPr="000E648F">
        <w:t>5</w:t>
      </w:r>
      <w:proofErr w:type="gramEnd"/>
      <w:r w:rsidRPr="000E648F">
        <w:t xml:space="preserve"> a melhor pontuação possível (ARVIS </w:t>
      </w:r>
      <w:r w:rsidRPr="00240E4C">
        <w:rPr>
          <w:i/>
        </w:rPr>
        <w:t>et al</w:t>
      </w:r>
      <w:r w:rsidRPr="000E648F">
        <w:t xml:space="preserve">., 2018). </w:t>
      </w:r>
    </w:p>
    <w:p w14:paraId="36E6F41A" w14:textId="77777777" w:rsidR="00240E4C" w:rsidRDefault="000E648F" w:rsidP="00240E4C">
      <w:pPr>
        <w:spacing w:after="120" w:line="360" w:lineRule="auto"/>
        <w:jc w:val="both"/>
      </w:pPr>
      <w:r w:rsidRPr="000E648F">
        <w:t xml:space="preserve">As seis áreas de abrangência do LPI, conforme figura 1, foram selecionadas com base em pesquisas teóricas e empíricas, bem como experiência de profissionais de logística. A componente alfândega determina a eficácia e eficiência dos procedimentos em termos de velocidade, simplicidade e previsibilidade (REZAEI </w:t>
      </w:r>
      <w:proofErr w:type="gramStart"/>
      <w:r w:rsidRPr="00240E4C">
        <w:rPr>
          <w:i/>
        </w:rPr>
        <w:t>et</w:t>
      </w:r>
      <w:proofErr w:type="gramEnd"/>
      <w:r w:rsidRPr="00240E4C">
        <w:rPr>
          <w:i/>
        </w:rPr>
        <w:t xml:space="preserve"> al</w:t>
      </w:r>
      <w:r w:rsidRPr="000E648F">
        <w:t xml:space="preserve">., 2018). A alfândega é um fator de relevância na logística e na eficiência dos transportes, especialmente em países menos desenvolvidos, sendo que pequenas alterações de melhoria podem aumentar a eficiência do sistema logístico total (EKICI </w:t>
      </w:r>
      <w:proofErr w:type="gramStart"/>
      <w:r w:rsidRPr="00240E4C">
        <w:rPr>
          <w:i/>
        </w:rPr>
        <w:t>et</w:t>
      </w:r>
      <w:proofErr w:type="gramEnd"/>
      <w:r w:rsidRPr="00240E4C">
        <w:rPr>
          <w:i/>
        </w:rPr>
        <w:t xml:space="preserve"> al</w:t>
      </w:r>
      <w:r w:rsidR="00240E4C">
        <w:t>., 2016).</w:t>
      </w:r>
    </w:p>
    <w:p w14:paraId="64B916DA" w14:textId="1D706E7A" w:rsidR="000E648F" w:rsidRPr="009F4B53" w:rsidRDefault="00240E4C" w:rsidP="009F4B53">
      <w:pPr>
        <w:spacing w:after="120" w:line="360" w:lineRule="auto"/>
        <w:jc w:val="both"/>
        <w:rPr>
          <w:rStyle w:val="TtulodoLivro"/>
          <w:b w:val="0"/>
          <w:bCs w:val="0"/>
          <w:smallCaps w:val="0"/>
          <w:spacing w:val="0"/>
        </w:rPr>
      </w:pPr>
      <w:r>
        <w:t xml:space="preserve">A infraestrutura é essencial para o comércio, sendo que muitos estudos fazem a relação entre infraestrutura e crescimento do volume econômico e comercial, sendo a logística um elo crítico nesse sentido. Esses efeitos são comuns a países desenvolvidos e em desenvolvimento (EKICI </w:t>
      </w:r>
      <w:proofErr w:type="gramStart"/>
      <w:r>
        <w:rPr>
          <w:i/>
        </w:rPr>
        <w:t>et</w:t>
      </w:r>
      <w:proofErr w:type="gramEnd"/>
      <w:r>
        <w:rPr>
          <w:i/>
        </w:rPr>
        <w:t xml:space="preserve"> al</w:t>
      </w:r>
      <w:r>
        <w:t xml:space="preserve">., 2016; KABAK </w:t>
      </w:r>
      <w:r>
        <w:rPr>
          <w:i/>
        </w:rPr>
        <w:t>et al</w:t>
      </w:r>
      <w:r>
        <w:t xml:space="preserve">, 2018; REZAEI </w:t>
      </w:r>
      <w:r>
        <w:rPr>
          <w:i/>
        </w:rPr>
        <w:t>et al</w:t>
      </w:r>
      <w:r>
        <w:t>., 2018).</w:t>
      </w:r>
    </w:p>
    <w:p w14:paraId="776E780F" w14:textId="0C90B0E4" w:rsidR="00240E4C" w:rsidRDefault="00240E4C" w:rsidP="00240E4C">
      <w:pPr>
        <w:spacing w:after="120"/>
        <w:ind w:firstLine="142"/>
        <w:jc w:val="center"/>
      </w:pPr>
      <w:r>
        <w:lastRenderedPageBreak/>
        <w:t xml:space="preserve">Figura </w:t>
      </w:r>
      <w:fldSimple w:instr=" SEQ Figura \* ARABIC ">
        <w:r w:rsidR="00DA5D4D">
          <w:rPr>
            <w:noProof/>
          </w:rPr>
          <w:t>1</w:t>
        </w:r>
      </w:fldSimple>
      <w:r>
        <w:t xml:space="preserve">. </w:t>
      </w:r>
      <w:r w:rsidRPr="00240E4C">
        <w:t>Indicadores LPI de entrada (insumos ou inputs) e de resultados (outputs)</w:t>
      </w:r>
    </w:p>
    <w:p w14:paraId="0693CBAD" w14:textId="57F6D5A6" w:rsidR="000E648F" w:rsidRDefault="00240E4C" w:rsidP="00240E4C">
      <w:pPr>
        <w:spacing w:after="120" w:line="360" w:lineRule="auto"/>
        <w:jc w:val="center"/>
      </w:pPr>
      <w:r>
        <w:rPr>
          <w:noProof/>
          <w:lang w:eastAsia="pt-BR"/>
        </w:rPr>
        <w:drawing>
          <wp:inline distT="0" distB="0" distL="0" distR="0" wp14:anchorId="336F28C8" wp14:editId="4A7C5493">
            <wp:extent cx="5082540" cy="2966720"/>
            <wp:effectExtent l="0" t="0" r="3810" b="5080"/>
            <wp:docPr id="8" name="Imagem 8"/>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rotWithShape="1">
                    <a:blip r:embed="rId15"/>
                    <a:srcRect l="7207" t="8653" r="7587" b="2886"/>
                    <a:stretch/>
                  </pic:blipFill>
                  <pic:spPr bwMode="auto">
                    <a:xfrm>
                      <a:off x="0" y="0"/>
                      <a:ext cx="5082540" cy="2966720"/>
                    </a:xfrm>
                    <a:prstGeom prst="rect">
                      <a:avLst/>
                    </a:prstGeom>
                    <a:ln>
                      <a:noFill/>
                    </a:ln>
                    <a:extLst>
                      <a:ext uri="{53640926-AAD7-44D8-BBD7-CCE9431645EC}">
                        <a14:shadowObscured xmlns:a14="http://schemas.microsoft.com/office/drawing/2010/main"/>
                      </a:ext>
                    </a:extLst>
                  </pic:spPr>
                </pic:pic>
              </a:graphicData>
            </a:graphic>
          </wp:inline>
        </w:drawing>
      </w:r>
    </w:p>
    <w:p w14:paraId="5AE51D91" w14:textId="7D4B02CD" w:rsidR="00240E4C" w:rsidRDefault="00240E4C" w:rsidP="009F4B53">
      <w:pPr>
        <w:spacing w:after="120"/>
        <w:ind w:firstLine="142"/>
        <w:jc w:val="center"/>
      </w:pPr>
      <w:r>
        <w:t xml:space="preserve">Fonte - </w:t>
      </w:r>
      <w:r w:rsidRPr="00240E4C">
        <w:t xml:space="preserve">Adaptado de </w:t>
      </w:r>
      <w:proofErr w:type="spellStart"/>
      <w:r w:rsidRPr="00240E4C">
        <w:t>Arvis</w:t>
      </w:r>
      <w:proofErr w:type="spellEnd"/>
      <w:r w:rsidRPr="00240E4C">
        <w:t xml:space="preserve"> </w:t>
      </w:r>
      <w:proofErr w:type="gramStart"/>
      <w:r w:rsidRPr="009F4B53">
        <w:rPr>
          <w:i/>
        </w:rPr>
        <w:t>et</w:t>
      </w:r>
      <w:proofErr w:type="gramEnd"/>
      <w:r w:rsidRPr="009F4B53">
        <w:rPr>
          <w:i/>
        </w:rPr>
        <w:t xml:space="preserve"> al</w:t>
      </w:r>
      <w:r w:rsidRPr="00240E4C">
        <w:t>. (2018).</w:t>
      </w:r>
    </w:p>
    <w:p w14:paraId="41B7736D" w14:textId="77777777" w:rsidR="009F4B53" w:rsidRDefault="009F4B53" w:rsidP="009F4B53">
      <w:pPr>
        <w:spacing w:after="120"/>
        <w:ind w:firstLine="142"/>
        <w:jc w:val="center"/>
      </w:pPr>
    </w:p>
    <w:p w14:paraId="314246C0" w14:textId="77777777" w:rsidR="009F4B53" w:rsidRPr="009F4B53" w:rsidRDefault="009F4B53" w:rsidP="009F4B53">
      <w:pPr>
        <w:spacing w:after="120" w:line="360" w:lineRule="auto"/>
        <w:jc w:val="both"/>
      </w:pPr>
      <w:r w:rsidRPr="009F4B53">
        <w:t xml:space="preserve">A qualidade dos serviços logísticos pode ser influenciada por fatores como medidas regulatórias para o setor de transportes, inovação em serviços logísticos e apoio direto aos serviços na forma de gerenciamento de tráfego. Além disso, a qualidade dos serviços logísticos é influenciada pela qualidade da mão-de-obra envolvida (D’ALEO; SERGI, 2017; KIM; MIN, 2011; REZAEI </w:t>
      </w:r>
      <w:proofErr w:type="gramStart"/>
      <w:r w:rsidRPr="009F4B53">
        <w:rPr>
          <w:i/>
        </w:rPr>
        <w:t>et</w:t>
      </w:r>
      <w:proofErr w:type="gramEnd"/>
      <w:r w:rsidRPr="009F4B53">
        <w:rPr>
          <w:i/>
        </w:rPr>
        <w:t xml:space="preserve"> al</w:t>
      </w:r>
      <w:r w:rsidRPr="009F4B53">
        <w:t xml:space="preserve">., 2018). </w:t>
      </w:r>
    </w:p>
    <w:p w14:paraId="56A1105C" w14:textId="77777777" w:rsidR="009F4B53" w:rsidRPr="009F4B53" w:rsidRDefault="009F4B53" w:rsidP="009F4B53">
      <w:pPr>
        <w:spacing w:after="120" w:line="360" w:lineRule="auto"/>
        <w:jc w:val="both"/>
      </w:pPr>
      <w:r w:rsidRPr="009F4B53">
        <w:t xml:space="preserve">Pontualidade refere-se a chegar ao local certo no momento certo, sendo que a pontualidade interfere no aumento do comércio em termos de volumes e financeiro. A redução no tempo de transporte é um dos objetivos importantes da política de transportes pelo custo-benefício (REZAEI </w:t>
      </w:r>
      <w:proofErr w:type="gramStart"/>
      <w:r w:rsidRPr="009F4B53">
        <w:rPr>
          <w:i/>
        </w:rPr>
        <w:t>et</w:t>
      </w:r>
      <w:proofErr w:type="gramEnd"/>
      <w:r w:rsidRPr="009F4B53">
        <w:rPr>
          <w:i/>
        </w:rPr>
        <w:t xml:space="preserve"> al</w:t>
      </w:r>
      <w:r w:rsidRPr="009F4B53">
        <w:t xml:space="preserve">, 2018). Além disso, a pontualidade envolve decisões sobre tipo de modal, expansão de redes de transporte e consumo de combustível, que se relacionam com questões de logística verde e eco eficiência (KIM; MIN, 2011; LAU, 2011; MARIANO </w:t>
      </w:r>
      <w:proofErr w:type="gramStart"/>
      <w:r w:rsidRPr="009F4B53">
        <w:rPr>
          <w:i/>
        </w:rPr>
        <w:t>et</w:t>
      </w:r>
      <w:proofErr w:type="gramEnd"/>
      <w:r w:rsidRPr="009F4B53">
        <w:rPr>
          <w:i/>
        </w:rPr>
        <w:t xml:space="preserve"> al</w:t>
      </w:r>
      <w:r w:rsidRPr="009F4B53">
        <w:t xml:space="preserve">., 2017). </w:t>
      </w:r>
    </w:p>
    <w:p w14:paraId="7BFD86BD" w14:textId="77777777" w:rsidR="009F4B53" w:rsidRPr="009F4B53" w:rsidRDefault="009F4B53" w:rsidP="009F4B53">
      <w:pPr>
        <w:spacing w:after="120" w:line="360" w:lineRule="auto"/>
        <w:jc w:val="both"/>
      </w:pPr>
      <w:r w:rsidRPr="009F4B53">
        <w:t xml:space="preserve">A facilidade de organizar os embarques internacionais depende dos regulamentos de transporte relacionados à segurança e proteção, refere-se a condições de mercado (EKICI </w:t>
      </w:r>
      <w:proofErr w:type="gramStart"/>
      <w:r w:rsidRPr="009F4B53">
        <w:rPr>
          <w:i/>
        </w:rPr>
        <w:t>et</w:t>
      </w:r>
      <w:proofErr w:type="gramEnd"/>
      <w:r w:rsidRPr="009F4B53">
        <w:rPr>
          <w:i/>
        </w:rPr>
        <w:t xml:space="preserve"> al</w:t>
      </w:r>
      <w:r w:rsidRPr="009F4B53">
        <w:t xml:space="preserve">., 2016; KIM; MIN, 2011). Rastreamento e monitoramento é a área considerada importante para investimentos futuros, como inovações em sistemas de informação, visto que toda a cadeia de suprimentos pode se beneficiar com melhorias nesse sentido (REZAEI </w:t>
      </w:r>
      <w:proofErr w:type="gramStart"/>
      <w:r w:rsidRPr="009F4B53">
        <w:rPr>
          <w:i/>
        </w:rPr>
        <w:t>et</w:t>
      </w:r>
      <w:proofErr w:type="gramEnd"/>
      <w:r w:rsidRPr="009F4B53">
        <w:rPr>
          <w:i/>
        </w:rPr>
        <w:t xml:space="preserve"> al</w:t>
      </w:r>
      <w:r w:rsidRPr="009F4B53">
        <w:t xml:space="preserve">, 2018). </w:t>
      </w:r>
    </w:p>
    <w:p w14:paraId="48270163" w14:textId="77777777" w:rsidR="009F4B53" w:rsidRPr="009F4B53" w:rsidRDefault="009F4B53" w:rsidP="009F4B53">
      <w:pPr>
        <w:spacing w:after="120" w:line="360" w:lineRule="auto"/>
        <w:jc w:val="both"/>
      </w:pPr>
      <w:r w:rsidRPr="009F4B53">
        <w:t xml:space="preserve">O primeiro relatório é de 2007 e a metodologia do LPI não sofreu muitas alterações ao longo dos anos, o que é positivo considerando comparabilidade de dados no período. No entanto, </w:t>
      </w:r>
      <w:r w:rsidRPr="009F4B53">
        <w:lastRenderedPageBreak/>
        <w:t>em 2007 eram sete áreas principais sobre 150 países: (i) alfândega, (</w:t>
      </w:r>
      <w:proofErr w:type="spellStart"/>
      <w:proofErr w:type="gramStart"/>
      <w:r w:rsidRPr="009F4B53">
        <w:t>ii</w:t>
      </w:r>
      <w:proofErr w:type="spellEnd"/>
      <w:proofErr w:type="gramEnd"/>
      <w:r w:rsidRPr="009F4B53">
        <w:t>) infraestrutura de transporte e tecnologia da informação, (</w:t>
      </w:r>
      <w:proofErr w:type="spellStart"/>
      <w:r w:rsidRPr="009F4B53">
        <w:t>iii</w:t>
      </w:r>
      <w:proofErr w:type="spellEnd"/>
      <w:r w:rsidRPr="009F4B53">
        <w:t>) facilidade e acessibilidade de organizar remessas internacionais; (</w:t>
      </w:r>
      <w:proofErr w:type="spellStart"/>
      <w:r w:rsidRPr="009F4B53">
        <w:t>iv</w:t>
      </w:r>
      <w:proofErr w:type="spellEnd"/>
      <w:r w:rsidRPr="009F4B53">
        <w:t>) competência do setor de logística local; (v) rastreio e monitoramento; (vi) pontualidade; e (</w:t>
      </w:r>
      <w:proofErr w:type="spellStart"/>
      <w:r w:rsidRPr="009F4B53">
        <w:t>vii</w:t>
      </w:r>
      <w:proofErr w:type="spellEnd"/>
      <w:r w:rsidRPr="009F4B53">
        <w:t xml:space="preserve">) custos logísticos domésticos (ARVIS </w:t>
      </w:r>
      <w:r w:rsidRPr="009F4B53">
        <w:rPr>
          <w:i/>
        </w:rPr>
        <w:t>et al</w:t>
      </w:r>
      <w:r w:rsidRPr="009F4B53">
        <w:t xml:space="preserve">., 2007). Esta última categoria não foi considerada isoladamente nos relatórios seguintes. </w:t>
      </w:r>
    </w:p>
    <w:p w14:paraId="1A934D9A" w14:textId="177B7389" w:rsidR="009F4B53" w:rsidRDefault="009F4B53" w:rsidP="00AB4A0B">
      <w:pPr>
        <w:spacing w:after="120" w:line="360" w:lineRule="auto"/>
        <w:jc w:val="both"/>
      </w:pPr>
      <w:r w:rsidRPr="009F4B53">
        <w:t xml:space="preserve">Na edição de 2018 também se utilizou a mesma metodologia dos anos anteriores, por meio de dois questionários: um internacional e outro nacional, sendo que no questionário nacional são fornecidos dados qualitativos e quantitativos sobre o ambiente logístico do país em que trabalham. Nessa edição, as avaliações abrangeram 160 países no LPI internacional e 100 no LPI nacional (ARVIS </w:t>
      </w:r>
      <w:proofErr w:type="gramStart"/>
      <w:r w:rsidRPr="009F4B53">
        <w:rPr>
          <w:i/>
        </w:rPr>
        <w:t>et</w:t>
      </w:r>
      <w:proofErr w:type="gramEnd"/>
      <w:r w:rsidRPr="009F4B53">
        <w:rPr>
          <w:i/>
        </w:rPr>
        <w:t xml:space="preserve"> al</w:t>
      </w:r>
      <w:r w:rsidRPr="009F4B53">
        <w:t xml:space="preserve">., 2018). Cabe ressaltar que os produtos cobertos na LPI são os manufaturados de forma unitizada, sendo que o comércio de grandes volumes de matérias-primas e produtos de energia (como minério, grãos, petróleo e gás) não são cobertos. Esse tipo de produto utiliza canais diretos comprador-vendedor da indústria ou outro tipo de intermediário, como corretores de mercadorias (ARVIS </w:t>
      </w:r>
      <w:proofErr w:type="gramStart"/>
      <w:r w:rsidRPr="009F4B53">
        <w:rPr>
          <w:i/>
        </w:rPr>
        <w:t>et</w:t>
      </w:r>
      <w:proofErr w:type="gramEnd"/>
      <w:r w:rsidRPr="009F4B53">
        <w:rPr>
          <w:i/>
        </w:rPr>
        <w:t xml:space="preserve"> al</w:t>
      </w:r>
      <w:r w:rsidRPr="009F4B53">
        <w:t>, 2016; 2018).</w:t>
      </w:r>
    </w:p>
    <w:p w14:paraId="6ECDD034" w14:textId="3CF663BE" w:rsidR="000E648F" w:rsidRPr="009F4B53" w:rsidRDefault="009F4B53" w:rsidP="00AB4A0B">
      <w:pPr>
        <w:spacing w:after="120" w:line="360" w:lineRule="auto"/>
        <w:jc w:val="both"/>
        <w:rPr>
          <w:b/>
        </w:rPr>
      </w:pPr>
      <w:r w:rsidRPr="009F4B53">
        <w:rPr>
          <w:b/>
        </w:rPr>
        <w:t xml:space="preserve">2.2 </w:t>
      </w:r>
      <w:r w:rsidRPr="009F4B53">
        <w:rPr>
          <w:b/>
          <w:bCs/>
          <w:smallCaps/>
          <w:spacing w:val="5"/>
        </w:rPr>
        <w:t>Estudos que analisaram o desempenho do Brasil</w:t>
      </w:r>
    </w:p>
    <w:p w14:paraId="1A1DF0EB" w14:textId="77777777" w:rsidR="009F4B53" w:rsidRPr="009F4B53" w:rsidRDefault="009F4B53" w:rsidP="009F4B53">
      <w:pPr>
        <w:pStyle w:val="PargrafodaLista"/>
        <w:spacing w:after="120" w:line="360" w:lineRule="auto"/>
        <w:ind w:left="0"/>
        <w:jc w:val="both"/>
      </w:pPr>
      <w:r w:rsidRPr="009F4B53">
        <w:t xml:space="preserve">O LPI é uma rica fonte de dados sobre a logística internacional e já foi utilizado em estudos para análises sobre diferentes questões e perspectivas. Nesse sentido, o desempenho do Brasil foi analisado isoladamente e pela sua participação em grupos, como América do Sul e BRICS (Brasil, Rússia, Índia, China e África do Sul). </w:t>
      </w:r>
    </w:p>
    <w:p w14:paraId="09B038D2" w14:textId="77777777" w:rsidR="009F4B53" w:rsidRPr="009F4B53" w:rsidRDefault="009F4B53" w:rsidP="009F4B53">
      <w:pPr>
        <w:pStyle w:val="PargrafodaLista"/>
        <w:spacing w:after="120" w:line="360" w:lineRule="auto"/>
        <w:ind w:left="0"/>
        <w:jc w:val="both"/>
      </w:pPr>
      <w:r w:rsidRPr="009F4B53">
        <w:t xml:space="preserve">Em </w:t>
      </w:r>
      <w:proofErr w:type="spellStart"/>
      <w:r w:rsidRPr="009F4B53">
        <w:t>Martí</w:t>
      </w:r>
      <w:proofErr w:type="spellEnd"/>
      <w:r w:rsidRPr="009F4B53">
        <w:t xml:space="preserve"> </w:t>
      </w:r>
      <w:proofErr w:type="gramStart"/>
      <w:r w:rsidRPr="009F4B53">
        <w:rPr>
          <w:i/>
        </w:rPr>
        <w:t>et</w:t>
      </w:r>
      <w:proofErr w:type="gramEnd"/>
      <w:r w:rsidRPr="009F4B53">
        <w:rPr>
          <w:i/>
        </w:rPr>
        <w:t xml:space="preserve"> al</w:t>
      </w:r>
      <w:r w:rsidRPr="009F4B53">
        <w:t>. (2014), os autores utilizam os dados dos relatórios de 2007 e 2012 para analisar o impacto que o LPI e cada um de seus componentes têm no comércio de países emergentes. Os países foram agrupados conforme sua posição geográfica. De acordo com a pesquisa, nos países da América do Sul as componentes do LPI de maior significância são alfândega e rastreamento.</w:t>
      </w:r>
    </w:p>
    <w:p w14:paraId="488094C6" w14:textId="3760EAA2" w:rsidR="009F4B53" w:rsidRPr="009F4B53" w:rsidRDefault="009F4B53" w:rsidP="009F4B53">
      <w:pPr>
        <w:pStyle w:val="PargrafodaLista"/>
        <w:spacing w:after="120" w:line="360" w:lineRule="auto"/>
        <w:ind w:left="0"/>
        <w:jc w:val="both"/>
      </w:pPr>
      <w:r w:rsidRPr="009F4B53">
        <w:t xml:space="preserve">Faria </w:t>
      </w:r>
      <w:proofErr w:type="gramStart"/>
      <w:r w:rsidRPr="009F4B53">
        <w:rPr>
          <w:i/>
        </w:rPr>
        <w:t>et</w:t>
      </w:r>
      <w:proofErr w:type="gramEnd"/>
      <w:r w:rsidRPr="009F4B53">
        <w:rPr>
          <w:i/>
        </w:rPr>
        <w:t xml:space="preserve"> al</w:t>
      </w:r>
      <w:r w:rsidRPr="009F4B53">
        <w:t>. (2015) avaliaram o Índice de Desempenho Logístico (LPI) do Brasil em relação aos seus principais concorrentes no comércio internacional. Dos 39 países analisados, o Brasil ocupou a 26ª posição, atrás de países como África do Sul, Kuwait e Arábia Saudita. Os países de m</w:t>
      </w:r>
      <w:r>
        <w:t xml:space="preserve">elhor desempenho </w:t>
      </w:r>
      <w:r w:rsidRPr="009F4B53">
        <w:t>foram, em geral, os principais exportadores e importadores do mundo: Alemanha, EUA e Japão. Ainda, os resultados indicaram que a burocracia é um grande obstáculo ao desempenho logístico do país. O indicador de pontualidade está muito próximo ao desempenho dos líderes do ranking, enquanto que o indicador alfandega está muito próximo do grupo de países com pior desempenho. Os dados utilizados para as análises são dos relatórios de 2007, 2010 e 2012.</w:t>
      </w:r>
    </w:p>
    <w:p w14:paraId="07D84A86" w14:textId="59E04DC2" w:rsidR="009F4B53" w:rsidRPr="009F4B53" w:rsidRDefault="009F4B53" w:rsidP="009F4B53">
      <w:pPr>
        <w:pStyle w:val="PargrafodaLista"/>
        <w:spacing w:after="120" w:line="360" w:lineRule="auto"/>
        <w:ind w:left="0"/>
        <w:jc w:val="both"/>
      </w:pPr>
      <w:proofErr w:type="spellStart"/>
      <w:r w:rsidRPr="009F4B53">
        <w:lastRenderedPageBreak/>
        <w:t>Martí</w:t>
      </w:r>
      <w:proofErr w:type="spellEnd"/>
      <w:r w:rsidRPr="009F4B53">
        <w:t xml:space="preserve"> e </w:t>
      </w:r>
      <w:proofErr w:type="spellStart"/>
      <w:r w:rsidRPr="009F4B53">
        <w:t>Puertas</w:t>
      </w:r>
      <w:proofErr w:type="spellEnd"/>
      <w:r w:rsidRPr="009F4B53">
        <w:t xml:space="preserve"> (2017) utilizaram os dados do LPI de 2007 e 2010 para analisar a importância do desempenho logístico para o comércio internacional e sua influência nos custos, com foco nas economias emergentes com uma fronteira marítima. Os países também foram agrupados por região geográfica. A pesquisa evidenciou esforços dos países da América do Sul nas dimensões de infraestrutura, alfândega, competência e pontualidade, em detrimento de variáveis importantes como rastreamento e monitoramento e embarques internacionais. </w:t>
      </w:r>
    </w:p>
    <w:p w14:paraId="0FAF9AF3" w14:textId="77777777" w:rsidR="009F4B53" w:rsidRPr="009F4B53" w:rsidRDefault="009F4B53" w:rsidP="009F4B53">
      <w:pPr>
        <w:pStyle w:val="PargrafodaLista"/>
        <w:spacing w:after="120" w:line="360" w:lineRule="auto"/>
        <w:ind w:left="0"/>
        <w:jc w:val="both"/>
      </w:pPr>
      <w:r w:rsidRPr="009F4B53">
        <w:t xml:space="preserve">O estudo de Mariano </w:t>
      </w:r>
      <w:proofErr w:type="gramStart"/>
      <w:r w:rsidRPr="009F4B53">
        <w:rPr>
          <w:i/>
        </w:rPr>
        <w:t>et</w:t>
      </w:r>
      <w:proofErr w:type="gramEnd"/>
      <w:r w:rsidRPr="009F4B53">
        <w:rPr>
          <w:i/>
        </w:rPr>
        <w:t xml:space="preserve"> al</w:t>
      </w:r>
      <w:r w:rsidRPr="009F4B53">
        <w:t xml:space="preserve">. (2017) relacionaram o desempenho da logística de transporte, medida pelo Índice de Desempenho de Logística (LPI), e as emissões de CO2 do setor de transporte. O estudo propõe um novo índice para desempenho logístico de baixo carbono baseado em DEA e considerou os dados do LPI de 2014 em suas análises. Os resultados do ranking apresentam o Brasil na 25ª posição, e Luxemburgo, Irlanda e Honduras nas três primeiras posições. Dentre os países da América do Sul, a Venezuela apresentou melhor desempenho que o Brasil, ocupando a 17ª posição. </w:t>
      </w:r>
    </w:p>
    <w:p w14:paraId="5131777B" w14:textId="1C162371" w:rsidR="000E648F" w:rsidRDefault="009F4B53" w:rsidP="009F4B53">
      <w:pPr>
        <w:pStyle w:val="PargrafodaLista"/>
        <w:spacing w:after="120" w:line="360" w:lineRule="auto"/>
        <w:ind w:left="0"/>
        <w:jc w:val="both"/>
      </w:pPr>
      <w:proofErr w:type="spellStart"/>
      <w:r w:rsidRPr="009F4B53">
        <w:t>Kabak</w:t>
      </w:r>
      <w:proofErr w:type="spellEnd"/>
      <w:r w:rsidRPr="009F4B53">
        <w:t xml:space="preserve"> </w:t>
      </w:r>
      <w:proofErr w:type="gramStart"/>
      <w:r w:rsidRPr="009F4B53">
        <w:rPr>
          <w:i/>
        </w:rPr>
        <w:t>et</w:t>
      </w:r>
      <w:proofErr w:type="gramEnd"/>
      <w:r w:rsidRPr="009F4B53">
        <w:rPr>
          <w:i/>
        </w:rPr>
        <w:t xml:space="preserve"> al</w:t>
      </w:r>
      <w:r>
        <w:rPr>
          <w:i/>
        </w:rPr>
        <w:t>.</w:t>
      </w:r>
      <w:r w:rsidRPr="009F4B53">
        <w:t xml:space="preserve"> (2018) propuseram uma abordagem para analisar as relações entre as exportações e os seis indicadores do índice de desempenho logístico (LPI) para os países Turquia, Burundi, Zimbábue, Brasil e Portugal, cada um com um nível de exportação diferente em relação ao comércio internacional. O Brasil, país considerado de nível médio de exportação, deve melhorar todos os seus valores de LPI para ser considerado um país de nível de exportação alto. Os indicadores críticos nesse sentido são alfândega e pontualidade. Os dados utilizados na pesquisa eram do LPI de 2016.</w:t>
      </w:r>
    </w:p>
    <w:p w14:paraId="185A70AF" w14:textId="77777777" w:rsidR="009F4B53" w:rsidRDefault="009F4B53" w:rsidP="009F4B53">
      <w:pPr>
        <w:pStyle w:val="PargrafodaLista"/>
        <w:spacing w:after="120" w:line="360" w:lineRule="auto"/>
        <w:ind w:left="0"/>
        <w:jc w:val="both"/>
      </w:pPr>
    </w:p>
    <w:p w14:paraId="60A199C0" w14:textId="78A0ABEE" w:rsidR="009F4B53" w:rsidRDefault="009F4B53" w:rsidP="009F4B53">
      <w:pPr>
        <w:pStyle w:val="PargrafodaLista"/>
        <w:spacing w:after="120" w:line="360" w:lineRule="auto"/>
        <w:ind w:left="0"/>
        <w:jc w:val="both"/>
        <w:rPr>
          <w:rStyle w:val="TtulodoLivro"/>
        </w:rPr>
      </w:pPr>
      <w:r w:rsidRPr="009F4B53">
        <w:rPr>
          <w:rStyle w:val="TtulodoLivro"/>
        </w:rPr>
        <w:t>Métodos de Pesquisa</w:t>
      </w:r>
    </w:p>
    <w:p w14:paraId="72E1A532" w14:textId="77777777" w:rsidR="000153F8" w:rsidRDefault="000153F8" w:rsidP="000153F8">
      <w:pPr>
        <w:spacing w:after="120" w:line="360" w:lineRule="auto"/>
        <w:jc w:val="both"/>
      </w:pPr>
      <w:r>
        <w:t xml:space="preserve">O presente estudo é baseado na análise qualitativa dos dados do LPI sobre o Brasil, no período entre 2007 e 2018, com base nos relatórios divulgados pelo Banco Mundial. Além de apresentar o desempenho do país e relacionar os resultados com a literatura, este estudo é baseado em </w:t>
      </w:r>
      <w:proofErr w:type="spellStart"/>
      <w:r>
        <w:t>Rezaei</w:t>
      </w:r>
      <w:proofErr w:type="spellEnd"/>
      <w:r>
        <w:t xml:space="preserve"> </w:t>
      </w:r>
      <w:proofErr w:type="gramStart"/>
      <w:r>
        <w:rPr>
          <w:i/>
        </w:rPr>
        <w:t>et</w:t>
      </w:r>
      <w:proofErr w:type="gramEnd"/>
      <w:r>
        <w:rPr>
          <w:i/>
        </w:rPr>
        <w:t xml:space="preserve"> al</w:t>
      </w:r>
      <w:r>
        <w:t xml:space="preserve">. (2018) para as análises, afim de comparar os resultados do LPI do Banco Mundial com o modelo proposto por esses autores. A metodologia do LPI foi modificada em outros estudos, que consideraram alterações como abrangência de indicadores (EKICI </w:t>
      </w:r>
      <w:proofErr w:type="gramStart"/>
      <w:r>
        <w:rPr>
          <w:i/>
        </w:rPr>
        <w:t>et</w:t>
      </w:r>
      <w:proofErr w:type="gramEnd"/>
      <w:r>
        <w:rPr>
          <w:i/>
        </w:rPr>
        <w:t xml:space="preserve"> al</w:t>
      </w:r>
      <w:r>
        <w:t xml:space="preserve">., 2016; MEMEDOVIC </w:t>
      </w:r>
      <w:r>
        <w:rPr>
          <w:i/>
        </w:rPr>
        <w:t>et al</w:t>
      </w:r>
      <w:r>
        <w:t>,</w:t>
      </w:r>
      <w:r>
        <w:rPr>
          <w:i/>
        </w:rPr>
        <w:t xml:space="preserve"> </w:t>
      </w:r>
      <w:r>
        <w:t xml:space="preserve">2008), relação com questões ambientais (KIM; MIN, 2011; LAU, 2011; MARIANO </w:t>
      </w:r>
      <w:r>
        <w:rPr>
          <w:i/>
        </w:rPr>
        <w:t>et al</w:t>
      </w:r>
      <w:r>
        <w:t xml:space="preserve">., 2017) e importância de cada área considerada no LPI (REZAEI </w:t>
      </w:r>
      <w:r>
        <w:rPr>
          <w:i/>
        </w:rPr>
        <w:t>et al</w:t>
      </w:r>
      <w:r>
        <w:t xml:space="preserve">., 2018). O método de </w:t>
      </w:r>
      <w:proofErr w:type="spellStart"/>
      <w:r>
        <w:t>Rezaei</w:t>
      </w:r>
      <w:proofErr w:type="spellEnd"/>
      <w:r>
        <w:t xml:space="preserve"> </w:t>
      </w:r>
      <w:proofErr w:type="gramStart"/>
      <w:r>
        <w:rPr>
          <w:i/>
        </w:rPr>
        <w:t>et</w:t>
      </w:r>
      <w:proofErr w:type="gramEnd"/>
      <w:r>
        <w:rPr>
          <w:i/>
        </w:rPr>
        <w:t xml:space="preserve"> al</w:t>
      </w:r>
      <w:r>
        <w:t>. (2018) serve de apoio à tomada de decisão em termos de desempenho em logística internacional, visto que prioriza as seis dimensões de abrangência do LPI, atribuindo pesos às mesmas.</w:t>
      </w:r>
    </w:p>
    <w:p w14:paraId="65229F9F" w14:textId="44135442" w:rsidR="000153F8" w:rsidRPr="000153F8" w:rsidRDefault="000153F8" w:rsidP="000153F8">
      <w:pPr>
        <w:spacing w:after="120" w:line="360" w:lineRule="auto"/>
        <w:jc w:val="both"/>
        <w:rPr>
          <w:rStyle w:val="TtulodoLivro"/>
          <w:b w:val="0"/>
          <w:bCs w:val="0"/>
          <w:smallCaps w:val="0"/>
          <w:spacing w:val="0"/>
        </w:rPr>
      </w:pPr>
      <w:r>
        <w:lastRenderedPageBreak/>
        <w:t xml:space="preserve">O modelo proposto em </w:t>
      </w:r>
      <w:proofErr w:type="spellStart"/>
      <w:r>
        <w:t>Rezaei</w:t>
      </w:r>
      <w:proofErr w:type="spellEnd"/>
      <w:r>
        <w:t xml:space="preserve"> </w:t>
      </w:r>
      <w:proofErr w:type="gramStart"/>
      <w:r>
        <w:rPr>
          <w:i/>
        </w:rPr>
        <w:t>et</w:t>
      </w:r>
      <w:proofErr w:type="gramEnd"/>
      <w:r>
        <w:rPr>
          <w:i/>
        </w:rPr>
        <w:t xml:space="preserve"> al</w:t>
      </w:r>
      <w:r>
        <w:t xml:space="preserve">. (2018) atribui pontuações diferenciadas a cada área de abrangência do LPI, por meio do método multicritério </w:t>
      </w:r>
      <w:r>
        <w:rPr>
          <w:i/>
        </w:rPr>
        <w:t xml:space="preserve">Best </w:t>
      </w:r>
      <w:proofErr w:type="spellStart"/>
      <w:r>
        <w:rPr>
          <w:i/>
        </w:rPr>
        <w:t>Worst</w:t>
      </w:r>
      <w:proofErr w:type="spellEnd"/>
      <w:r>
        <w:rPr>
          <w:i/>
        </w:rPr>
        <w:t xml:space="preserve"> </w:t>
      </w:r>
      <w:proofErr w:type="spellStart"/>
      <w:r>
        <w:rPr>
          <w:i/>
        </w:rPr>
        <w:t>Method</w:t>
      </w:r>
      <w:proofErr w:type="spellEnd"/>
      <w:r>
        <w:t xml:space="preserve"> (BWM), considerando a opinião de 107 especialistas de países diferentes, sendo 57 de universidades e 50 profissionais. Essas pontuações servem de apoio para decisão em termos de priorização das políticas para melhorar a logística dos países de maneira mais eficiente (REZAEI </w:t>
      </w:r>
      <w:proofErr w:type="gramStart"/>
      <w:r>
        <w:rPr>
          <w:i/>
        </w:rPr>
        <w:t>et</w:t>
      </w:r>
      <w:proofErr w:type="gramEnd"/>
      <w:r>
        <w:rPr>
          <w:i/>
        </w:rPr>
        <w:t xml:space="preserve"> al</w:t>
      </w:r>
      <w:r>
        <w:t xml:space="preserve">, 2018). Os autores optaram pelo BWM por ser um método multicritério, que requer menos comparações, tornando o processo menos demorado e aumentando a consistência das mesmas. Além disso, por ser um método estruturado, os resultados são claros e passíveis de revisão pelo avaliador (REZAEI </w:t>
      </w:r>
      <w:proofErr w:type="gramStart"/>
      <w:r>
        <w:rPr>
          <w:i/>
        </w:rPr>
        <w:t>et</w:t>
      </w:r>
      <w:proofErr w:type="gramEnd"/>
      <w:r>
        <w:rPr>
          <w:i/>
        </w:rPr>
        <w:t xml:space="preserve"> al</w:t>
      </w:r>
      <w:r>
        <w:t>., 2018).</w:t>
      </w:r>
    </w:p>
    <w:p w14:paraId="4C2EF03D" w14:textId="716E531A" w:rsidR="000153F8" w:rsidRDefault="000153F8" w:rsidP="000153F8">
      <w:pPr>
        <w:spacing w:after="120"/>
        <w:ind w:firstLine="142"/>
        <w:jc w:val="center"/>
      </w:pPr>
      <w:r>
        <w:t xml:space="preserve">Tabela </w:t>
      </w:r>
      <w:fldSimple w:instr=" SEQ Tabela \* ARABIC ">
        <w:r w:rsidR="00C8627B">
          <w:rPr>
            <w:noProof/>
          </w:rPr>
          <w:t>1</w:t>
        </w:r>
      </w:fldSimple>
      <w:r>
        <w:t>.</w:t>
      </w:r>
      <w:r w:rsidRPr="000153F8">
        <w:t xml:space="preserve"> Pesos </w:t>
      </w:r>
      <w:r>
        <w:t xml:space="preserve">dos </w:t>
      </w:r>
      <w:r w:rsidRPr="000153F8">
        <w:t xml:space="preserve">indicadores do LPI e </w:t>
      </w:r>
      <w:r>
        <w:t xml:space="preserve">do modelo </w:t>
      </w:r>
      <w:proofErr w:type="spellStart"/>
      <w:proofErr w:type="gramStart"/>
      <w:r w:rsidRPr="000153F8">
        <w:t>LPIw</w:t>
      </w:r>
      <w:proofErr w:type="spellEnd"/>
      <w:proofErr w:type="gramEnd"/>
    </w:p>
    <w:tbl>
      <w:tblPr>
        <w:tblW w:w="5289" w:type="dxa"/>
        <w:jc w:val="center"/>
        <w:tblCellMar>
          <w:left w:w="70" w:type="dxa"/>
          <w:right w:w="70" w:type="dxa"/>
        </w:tblCellMar>
        <w:tblLook w:val="04A0" w:firstRow="1" w:lastRow="0" w:firstColumn="1" w:lastColumn="0" w:noHBand="0" w:noVBand="1"/>
      </w:tblPr>
      <w:tblGrid>
        <w:gridCol w:w="2825"/>
        <w:gridCol w:w="1232"/>
        <w:gridCol w:w="1232"/>
      </w:tblGrid>
      <w:tr w:rsidR="000153F8" w14:paraId="78C9AA76" w14:textId="77777777" w:rsidTr="000153F8">
        <w:trPr>
          <w:trHeight w:val="247"/>
          <w:jc w:val="center"/>
        </w:trPr>
        <w:tc>
          <w:tcPr>
            <w:tcW w:w="2825" w:type="dxa"/>
            <w:tcBorders>
              <w:top w:val="single" w:sz="4" w:space="0" w:color="auto"/>
              <w:bottom w:val="single" w:sz="4" w:space="0" w:color="auto"/>
            </w:tcBorders>
            <w:shd w:val="clear" w:color="auto" w:fill="D9D9D9" w:themeFill="background1" w:themeFillShade="D9"/>
            <w:noWrap/>
            <w:vAlign w:val="bottom"/>
            <w:hideMark/>
          </w:tcPr>
          <w:p w14:paraId="7A385626" w14:textId="41F1575C" w:rsidR="000153F8" w:rsidRDefault="000153F8" w:rsidP="000153F8">
            <w:pPr>
              <w:jc w:val="center"/>
              <w:rPr>
                <w:rFonts w:asciiTheme="minorHAnsi" w:eastAsiaTheme="minorHAnsi" w:hAnsiTheme="minorHAnsi"/>
                <w:sz w:val="22"/>
                <w:szCs w:val="22"/>
              </w:rPr>
            </w:pPr>
            <w:r w:rsidRPr="000153F8">
              <w:rPr>
                <w:b/>
                <w:bCs/>
                <w:sz w:val="20"/>
                <w:szCs w:val="20"/>
                <w:lang w:eastAsia="pt-BR"/>
              </w:rPr>
              <w:t>Indicadores</w:t>
            </w:r>
          </w:p>
        </w:tc>
        <w:tc>
          <w:tcPr>
            <w:tcW w:w="1232" w:type="dxa"/>
            <w:tcBorders>
              <w:top w:val="single" w:sz="4" w:space="0" w:color="auto"/>
              <w:bottom w:val="single" w:sz="4" w:space="0" w:color="auto"/>
            </w:tcBorders>
            <w:shd w:val="clear" w:color="auto" w:fill="D9D9D9" w:themeFill="background1" w:themeFillShade="D9"/>
            <w:noWrap/>
            <w:vAlign w:val="bottom"/>
            <w:hideMark/>
          </w:tcPr>
          <w:p w14:paraId="5E4DF57A" w14:textId="77777777" w:rsidR="000153F8" w:rsidRDefault="000153F8">
            <w:pPr>
              <w:jc w:val="center"/>
              <w:rPr>
                <w:b/>
                <w:bCs/>
                <w:color w:val="000000"/>
                <w:sz w:val="20"/>
                <w:szCs w:val="20"/>
                <w:lang w:eastAsia="pt-BR"/>
              </w:rPr>
            </w:pPr>
            <w:r>
              <w:rPr>
                <w:b/>
                <w:bCs/>
                <w:color w:val="000000"/>
                <w:sz w:val="20"/>
                <w:szCs w:val="20"/>
                <w:lang w:eastAsia="pt-BR"/>
              </w:rPr>
              <w:t>LPI</w:t>
            </w:r>
          </w:p>
        </w:tc>
        <w:tc>
          <w:tcPr>
            <w:tcW w:w="1232" w:type="dxa"/>
            <w:tcBorders>
              <w:top w:val="single" w:sz="4" w:space="0" w:color="auto"/>
              <w:bottom w:val="single" w:sz="4" w:space="0" w:color="auto"/>
            </w:tcBorders>
            <w:shd w:val="clear" w:color="auto" w:fill="D9D9D9" w:themeFill="background1" w:themeFillShade="D9"/>
            <w:noWrap/>
            <w:vAlign w:val="bottom"/>
            <w:hideMark/>
          </w:tcPr>
          <w:p w14:paraId="6FCF24F4" w14:textId="77777777" w:rsidR="000153F8" w:rsidRDefault="000153F8">
            <w:pPr>
              <w:jc w:val="center"/>
              <w:rPr>
                <w:b/>
                <w:bCs/>
                <w:color w:val="000000"/>
                <w:sz w:val="20"/>
                <w:szCs w:val="20"/>
                <w:lang w:eastAsia="pt-BR"/>
              </w:rPr>
            </w:pPr>
            <w:proofErr w:type="spellStart"/>
            <w:proofErr w:type="gramStart"/>
            <w:r>
              <w:rPr>
                <w:b/>
                <w:bCs/>
                <w:color w:val="000000"/>
                <w:sz w:val="20"/>
                <w:szCs w:val="20"/>
                <w:lang w:eastAsia="pt-BR"/>
              </w:rPr>
              <w:t>LPIw</w:t>
            </w:r>
            <w:proofErr w:type="spellEnd"/>
            <w:proofErr w:type="gramEnd"/>
          </w:p>
        </w:tc>
      </w:tr>
      <w:tr w:rsidR="000153F8" w14:paraId="0B47CDE3" w14:textId="77777777" w:rsidTr="000153F8">
        <w:trPr>
          <w:trHeight w:val="233"/>
          <w:jc w:val="center"/>
        </w:trPr>
        <w:tc>
          <w:tcPr>
            <w:tcW w:w="2825" w:type="dxa"/>
            <w:tcBorders>
              <w:top w:val="single" w:sz="4" w:space="0" w:color="auto"/>
            </w:tcBorders>
            <w:vAlign w:val="center"/>
            <w:hideMark/>
          </w:tcPr>
          <w:p w14:paraId="6B9D5A97" w14:textId="77777777" w:rsidR="000153F8" w:rsidRDefault="000153F8">
            <w:pPr>
              <w:jc w:val="center"/>
              <w:rPr>
                <w:b/>
                <w:bCs/>
                <w:sz w:val="20"/>
                <w:szCs w:val="20"/>
                <w:lang w:eastAsia="pt-BR"/>
              </w:rPr>
            </w:pPr>
            <w:r>
              <w:rPr>
                <w:b/>
                <w:bCs/>
                <w:sz w:val="20"/>
                <w:szCs w:val="20"/>
                <w:lang w:eastAsia="pt-BR"/>
              </w:rPr>
              <w:t>Alfândega</w:t>
            </w:r>
          </w:p>
        </w:tc>
        <w:tc>
          <w:tcPr>
            <w:tcW w:w="1232" w:type="dxa"/>
            <w:tcBorders>
              <w:top w:val="single" w:sz="4" w:space="0" w:color="auto"/>
            </w:tcBorders>
            <w:vAlign w:val="center"/>
            <w:hideMark/>
          </w:tcPr>
          <w:p w14:paraId="0EA93816" w14:textId="77777777" w:rsidR="000153F8" w:rsidRDefault="000153F8">
            <w:pPr>
              <w:jc w:val="center"/>
              <w:rPr>
                <w:color w:val="505050"/>
                <w:sz w:val="20"/>
                <w:szCs w:val="20"/>
                <w:lang w:eastAsia="pt-BR"/>
              </w:rPr>
            </w:pPr>
            <w:r>
              <w:rPr>
                <w:color w:val="505050"/>
                <w:sz w:val="20"/>
                <w:szCs w:val="20"/>
                <w:lang w:eastAsia="pt-BR"/>
              </w:rPr>
              <w:t>0,40</w:t>
            </w:r>
          </w:p>
        </w:tc>
        <w:tc>
          <w:tcPr>
            <w:tcW w:w="1232" w:type="dxa"/>
            <w:tcBorders>
              <w:top w:val="single" w:sz="4" w:space="0" w:color="auto"/>
            </w:tcBorders>
            <w:vAlign w:val="center"/>
            <w:hideMark/>
          </w:tcPr>
          <w:p w14:paraId="0CD966C2" w14:textId="77777777" w:rsidR="000153F8" w:rsidRDefault="000153F8">
            <w:pPr>
              <w:jc w:val="center"/>
              <w:rPr>
                <w:color w:val="505050"/>
                <w:sz w:val="20"/>
                <w:szCs w:val="20"/>
                <w:lang w:eastAsia="pt-BR"/>
              </w:rPr>
            </w:pPr>
            <w:r>
              <w:rPr>
                <w:color w:val="505050"/>
                <w:sz w:val="20"/>
                <w:szCs w:val="20"/>
                <w:lang w:eastAsia="pt-BR"/>
              </w:rPr>
              <w:t>0,16</w:t>
            </w:r>
          </w:p>
        </w:tc>
      </w:tr>
      <w:tr w:rsidR="000153F8" w14:paraId="7BDB6002" w14:textId="77777777" w:rsidTr="000153F8">
        <w:trPr>
          <w:trHeight w:val="233"/>
          <w:jc w:val="center"/>
        </w:trPr>
        <w:tc>
          <w:tcPr>
            <w:tcW w:w="2825" w:type="dxa"/>
            <w:vAlign w:val="center"/>
            <w:hideMark/>
          </w:tcPr>
          <w:p w14:paraId="5CB233C9" w14:textId="77777777" w:rsidR="000153F8" w:rsidRDefault="000153F8">
            <w:pPr>
              <w:jc w:val="center"/>
              <w:rPr>
                <w:b/>
                <w:bCs/>
                <w:sz w:val="20"/>
                <w:szCs w:val="20"/>
                <w:lang w:eastAsia="pt-BR"/>
              </w:rPr>
            </w:pPr>
            <w:r>
              <w:rPr>
                <w:b/>
                <w:bCs/>
                <w:sz w:val="20"/>
                <w:szCs w:val="20"/>
                <w:lang w:eastAsia="pt-BR"/>
              </w:rPr>
              <w:t>Infraestrutura</w:t>
            </w:r>
          </w:p>
        </w:tc>
        <w:tc>
          <w:tcPr>
            <w:tcW w:w="1232" w:type="dxa"/>
            <w:vAlign w:val="center"/>
            <w:hideMark/>
          </w:tcPr>
          <w:p w14:paraId="3B799A4F" w14:textId="77777777" w:rsidR="000153F8" w:rsidRDefault="000153F8">
            <w:pPr>
              <w:jc w:val="center"/>
              <w:rPr>
                <w:color w:val="505050"/>
                <w:sz w:val="20"/>
                <w:szCs w:val="20"/>
                <w:lang w:eastAsia="pt-BR"/>
              </w:rPr>
            </w:pPr>
            <w:r>
              <w:rPr>
                <w:color w:val="505050"/>
                <w:sz w:val="20"/>
                <w:szCs w:val="20"/>
                <w:lang w:eastAsia="pt-BR"/>
              </w:rPr>
              <w:t>0,42</w:t>
            </w:r>
          </w:p>
        </w:tc>
        <w:tc>
          <w:tcPr>
            <w:tcW w:w="1232" w:type="dxa"/>
            <w:vAlign w:val="center"/>
            <w:hideMark/>
          </w:tcPr>
          <w:p w14:paraId="43219EF1" w14:textId="77777777" w:rsidR="000153F8" w:rsidRDefault="000153F8">
            <w:pPr>
              <w:jc w:val="center"/>
              <w:rPr>
                <w:color w:val="505050"/>
                <w:sz w:val="20"/>
                <w:szCs w:val="20"/>
                <w:lang w:eastAsia="pt-BR"/>
              </w:rPr>
            </w:pPr>
            <w:r>
              <w:rPr>
                <w:color w:val="505050"/>
                <w:sz w:val="20"/>
                <w:szCs w:val="20"/>
                <w:lang w:eastAsia="pt-BR"/>
              </w:rPr>
              <w:t>0,24</w:t>
            </w:r>
          </w:p>
        </w:tc>
      </w:tr>
      <w:tr w:rsidR="000153F8" w14:paraId="15C2A526" w14:textId="77777777" w:rsidTr="000153F8">
        <w:trPr>
          <w:trHeight w:val="233"/>
          <w:jc w:val="center"/>
        </w:trPr>
        <w:tc>
          <w:tcPr>
            <w:tcW w:w="2825" w:type="dxa"/>
            <w:vAlign w:val="center"/>
            <w:hideMark/>
          </w:tcPr>
          <w:p w14:paraId="29FF327A" w14:textId="77777777" w:rsidR="000153F8" w:rsidRDefault="000153F8">
            <w:pPr>
              <w:jc w:val="center"/>
              <w:rPr>
                <w:b/>
                <w:bCs/>
                <w:sz w:val="20"/>
                <w:szCs w:val="20"/>
                <w:lang w:eastAsia="pt-BR"/>
              </w:rPr>
            </w:pPr>
            <w:r>
              <w:rPr>
                <w:b/>
                <w:bCs/>
                <w:sz w:val="20"/>
                <w:szCs w:val="20"/>
                <w:lang w:eastAsia="pt-BR"/>
              </w:rPr>
              <w:t>Qualidade Serviços</w:t>
            </w:r>
          </w:p>
        </w:tc>
        <w:tc>
          <w:tcPr>
            <w:tcW w:w="1232" w:type="dxa"/>
            <w:vAlign w:val="center"/>
            <w:hideMark/>
          </w:tcPr>
          <w:p w14:paraId="3E402EA3" w14:textId="77777777" w:rsidR="000153F8" w:rsidRDefault="000153F8">
            <w:pPr>
              <w:jc w:val="center"/>
              <w:rPr>
                <w:color w:val="505050"/>
                <w:sz w:val="20"/>
                <w:szCs w:val="20"/>
                <w:lang w:eastAsia="pt-BR"/>
              </w:rPr>
            </w:pPr>
            <w:r>
              <w:rPr>
                <w:color w:val="505050"/>
                <w:sz w:val="20"/>
                <w:szCs w:val="20"/>
                <w:lang w:eastAsia="pt-BR"/>
              </w:rPr>
              <w:t>0,42</w:t>
            </w:r>
          </w:p>
        </w:tc>
        <w:tc>
          <w:tcPr>
            <w:tcW w:w="1232" w:type="dxa"/>
            <w:vAlign w:val="center"/>
            <w:hideMark/>
          </w:tcPr>
          <w:p w14:paraId="3F4A0585" w14:textId="77777777" w:rsidR="000153F8" w:rsidRDefault="000153F8">
            <w:pPr>
              <w:jc w:val="center"/>
              <w:rPr>
                <w:color w:val="505050"/>
                <w:sz w:val="20"/>
                <w:szCs w:val="20"/>
                <w:lang w:eastAsia="pt-BR"/>
              </w:rPr>
            </w:pPr>
            <w:r>
              <w:rPr>
                <w:color w:val="505050"/>
                <w:sz w:val="20"/>
                <w:szCs w:val="20"/>
                <w:lang w:eastAsia="pt-BR"/>
              </w:rPr>
              <w:t>0,22</w:t>
            </w:r>
          </w:p>
        </w:tc>
      </w:tr>
      <w:tr w:rsidR="000153F8" w14:paraId="4D590B65" w14:textId="77777777" w:rsidTr="000153F8">
        <w:trPr>
          <w:trHeight w:val="233"/>
          <w:jc w:val="center"/>
        </w:trPr>
        <w:tc>
          <w:tcPr>
            <w:tcW w:w="2825" w:type="dxa"/>
            <w:vAlign w:val="center"/>
            <w:hideMark/>
          </w:tcPr>
          <w:p w14:paraId="67465082" w14:textId="77777777" w:rsidR="000153F8" w:rsidRDefault="000153F8">
            <w:pPr>
              <w:jc w:val="center"/>
              <w:rPr>
                <w:b/>
                <w:bCs/>
                <w:sz w:val="20"/>
                <w:szCs w:val="20"/>
                <w:lang w:eastAsia="pt-BR"/>
              </w:rPr>
            </w:pPr>
            <w:r>
              <w:rPr>
                <w:b/>
                <w:bCs/>
                <w:sz w:val="20"/>
                <w:szCs w:val="20"/>
                <w:lang w:eastAsia="pt-BR"/>
              </w:rPr>
              <w:t>Pontualidade</w:t>
            </w:r>
          </w:p>
        </w:tc>
        <w:tc>
          <w:tcPr>
            <w:tcW w:w="1232" w:type="dxa"/>
            <w:vAlign w:val="center"/>
            <w:hideMark/>
          </w:tcPr>
          <w:p w14:paraId="0F8B83CA" w14:textId="77777777" w:rsidR="000153F8" w:rsidRDefault="000153F8">
            <w:pPr>
              <w:jc w:val="center"/>
              <w:rPr>
                <w:color w:val="505050"/>
                <w:sz w:val="20"/>
                <w:szCs w:val="20"/>
                <w:lang w:eastAsia="pt-BR"/>
              </w:rPr>
            </w:pPr>
            <w:r>
              <w:rPr>
                <w:color w:val="505050"/>
                <w:sz w:val="20"/>
                <w:szCs w:val="20"/>
                <w:lang w:eastAsia="pt-BR"/>
              </w:rPr>
              <w:t>0,40</w:t>
            </w:r>
          </w:p>
        </w:tc>
        <w:tc>
          <w:tcPr>
            <w:tcW w:w="1232" w:type="dxa"/>
            <w:vAlign w:val="center"/>
            <w:hideMark/>
          </w:tcPr>
          <w:p w14:paraId="764B99D2" w14:textId="77777777" w:rsidR="000153F8" w:rsidRDefault="000153F8">
            <w:pPr>
              <w:jc w:val="center"/>
              <w:rPr>
                <w:color w:val="505050"/>
                <w:sz w:val="20"/>
                <w:szCs w:val="20"/>
                <w:lang w:eastAsia="pt-BR"/>
              </w:rPr>
            </w:pPr>
            <w:r>
              <w:rPr>
                <w:color w:val="505050"/>
                <w:sz w:val="20"/>
                <w:szCs w:val="20"/>
                <w:lang w:eastAsia="pt-BR"/>
              </w:rPr>
              <w:t>0,16</w:t>
            </w:r>
          </w:p>
        </w:tc>
      </w:tr>
      <w:tr w:rsidR="000153F8" w14:paraId="22F0862E" w14:textId="77777777" w:rsidTr="000153F8">
        <w:trPr>
          <w:trHeight w:val="262"/>
          <w:jc w:val="center"/>
        </w:trPr>
        <w:tc>
          <w:tcPr>
            <w:tcW w:w="2825" w:type="dxa"/>
            <w:vAlign w:val="center"/>
            <w:hideMark/>
          </w:tcPr>
          <w:p w14:paraId="6C16F024" w14:textId="77777777" w:rsidR="000153F8" w:rsidRDefault="000153F8">
            <w:pPr>
              <w:jc w:val="center"/>
              <w:rPr>
                <w:b/>
                <w:bCs/>
                <w:sz w:val="20"/>
                <w:szCs w:val="20"/>
                <w:lang w:eastAsia="pt-BR"/>
              </w:rPr>
            </w:pPr>
            <w:r>
              <w:rPr>
                <w:b/>
                <w:bCs/>
                <w:sz w:val="20"/>
                <w:szCs w:val="20"/>
                <w:lang w:eastAsia="pt-BR"/>
              </w:rPr>
              <w:t>Rastreio e Monitoramento</w:t>
            </w:r>
          </w:p>
        </w:tc>
        <w:tc>
          <w:tcPr>
            <w:tcW w:w="1232" w:type="dxa"/>
            <w:vAlign w:val="center"/>
            <w:hideMark/>
          </w:tcPr>
          <w:p w14:paraId="470775BC" w14:textId="77777777" w:rsidR="000153F8" w:rsidRDefault="000153F8">
            <w:pPr>
              <w:jc w:val="center"/>
              <w:rPr>
                <w:color w:val="505050"/>
                <w:sz w:val="20"/>
                <w:szCs w:val="20"/>
                <w:lang w:eastAsia="pt-BR"/>
              </w:rPr>
            </w:pPr>
            <w:r>
              <w:rPr>
                <w:color w:val="505050"/>
                <w:sz w:val="20"/>
                <w:szCs w:val="20"/>
                <w:lang w:eastAsia="pt-BR"/>
              </w:rPr>
              <w:t>0,41</w:t>
            </w:r>
          </w:p>
        </w:tc>
        <w:tc>
          <w:tcPr>
            <w:tcW w:w="1232" w:type="dxa"/>
            <w:vAlign w:val="center"/>
            <w:hideMark/>
          </w:tcPr>
          <w:p w14:paraId="043C936E" w14:textId="77777777" w:rsidR="000153F8" w:rsidRDefault="000153F8">
            <w:pPr>
              <w:jc w:val="center"/>
              <w:rPr>
                <w:color w:val="505050"/>
                <w:sz w:val="20"/>
                <w:szCs w:val="20"/>
                <w:lang w:eastAsia="pt-BR"/>
              </w:rPr>
            </w:pPr>
            <w:r>
              <w:rPr>
                <w:color w:val="505050"/>
                <w:sz w:val="20"/>
                <w:szCs w:val="20"/>
                <w:lang w:eastAsia="pt-BR"/>
              </w:rPr>
              <w:t>0,10</w:t>
            </w:r>
          </w:p>
        </w:tc>
      </w:tr>
      <w:tr w:rsidR="000153F8" w14:paraId="5AEFAF73" w14:textId="77777777" w:rsidTr="000153F8">
        <w:trPr>
          <w:trHeight w:val="210"/>
          <w:jc w:val="center"/>
        </w:trPr>
        <w:tc>
          <w:tcPr>
            <w:tcW w:w="2825" w:type="dxa"/>
            <w:tcBorders>
              <w:bottom w:val="single" w:sz="4" w:space="0" w:color="auto"/>
            </w:tcBorders>
            <w:shd w:val="clear" w:color="auto" w:fill="auto"/>
            <w:vAlign w:val="center"/>
            <w:hideMark/>
          </w:tcPr>
          <w:p w14:paraId="0058546D" w14:textId="77777777" w:rsidR="000153F8" w:rsidRDefault="000153F8">
            <w:pPr>
              <w:jc w:val="center"/>
              <w:rPr>
                <w:b/>
                <w:bCs/>
                <w:sz w:val="20"/>
                <w:szCs w:val="20"/>
                <w:lang w:eastAsia="pt-BR"/>
              </w:rPr>
            </w:pPr>
            <w:r>
              <w:rPr>
                <w:b/>
                <w:bCs/>
                <w:sz w:val="20"/>
                <w:szCs w:val="20"/>
                <w:lang w:eastAsia="pt-BR"/>
              </w:rPr>
              <w:t>Expedição internacional</w:t>
            </w:r>
          </w:p>
        </w:tc>
        <w:tc>
          <w:tcPr>
            <w:tcW w:w="1232" w:type="dxa"/>
            <w:tcBorders>
              <w:bottom w:val="single" w:sz="4" w:space="0" w:color="auto"/>
            </w:tcBorders>
            <w:shd w:val="clear" w:color="auto" w:fill="auto"/>
            <w:vAlign w:val="center"/>
            <w:hideMark/>
          </w:tcPr>
          <w:p w14:paraId="57AB9889" w14:textId="77777777" w:rsidR="000153F8" w:rsidRDefault="000153F8">
            <w:pPr>
              <w:jc w:val="center"/>
              <w:rPr>
                <w:color w:val="505050"/>
                <w:sz w:val="20"/>
                <w:szCs w:val="20"/>
                <w:lang w:eastAsia="pt-BR"/>
              </w:rPr>
            </w:pPr>
            <w:r>
              <w:rPr>
                <w:color w:val="505050"/>
                <w:sz w:val="20"/>
                <w:szCs w:val="20"/>
                <w:lang w:eastAsia="pt-BR"/>
              </w:rPr>
              <w:t>0,40</w:t>
            </w:r>
          </w:p>
        </w:tc>
        <w:tc>
          <w:tcPr>
            <w:tcW w:w="1232" w:type="dxa"/>
            <w:tcBorders>
              <w:bottom w:val="single" w:sz="4" w:space="0" w:color="auto"/>
            </w:tcBorders>
            <w:shd w:val="clear" w:color="auto" w:fill="auto"/>
            <w:noWrap/>
            <w:vAlign w:val="center"/>
            <w:hideMark/>
          </w:tcPr>
          <w:p w14:paraId="6D07AFC9" w14:textId="77777777" w:rsidR="000153F8" w:rsidRDefault="000153F8">
            <w:pPr>
              <w:jc w:val="center"/>
              <w:rPr>
                <w:color w:val="000000"/>
                <w:sz w:val="20"/>
                <w:szCs w:val="20"/>
                <w:lang w:eastAsia="pt-BR"/>
              </w:rPr>
            </w:pPr>
            <w:r>
              <w:rPr>
                <w:color w:val="505050"/>
                <w:sz w:val="20"/>
                <w:szCs w:val="20"/>
                <w:lang w:eastAsia="pt-BR"/>
              </w:rPr>
              <w:t>0,13</w:t>
            </w:r>
          </w:p>
        </w:tc>
      </w:tr>
      <w:tr w:rsidR="000153F8" w14:paraId="1BB33DFD" w14:textId="77777777" w:rsidTr="000153F8">
        <w:trPr>
          <w:trHeight w:val="233"/>
          <w:jc w:val="center"/>
        </w:trPr>
        <w:tc>
          <w:tcPr>
            <w:tcW w:w="2825" w:type="dxa"/>
            <w:tcBorders>
              <w:top w:val="single" w:sz="4" w:space="0" w:color="auto"/>
              <w:bottom w:val="single" w:sz="4" w:space="0" w:color="auto"/>
            </w:tcBorders>
            <w:noWrap/>
            <w:vAlign w:val="bottom"/>
            <w:hideMark/>
          </w:tcPr>
          <w:p w14:paraId="382AAB51" w14:textId="77777777" w:rsidR="000153F8" w:rsidRDefault="000153F8">
            <w:pPr>
              <w:spacing w:line="276" w:lineRule="auto"/>
              <w:rPr>
                <w:rFonts w:asciiTheme="minorHAnsi" w:eastAsiaTheme="minorHAnsi" w:hAnsiTheme="minorHAnsi"/>
                <w:sz w:val="22"/>
                <w:szCs w:val="22"/>
              </w:rPr>
            </w:pPr>
          </w:p>
        </w:tc>
        <w:tc>
          <w:tcPr>
            <w:tcW w:w="1232" w:type="dxa"/>
            <w:tcBorders>
              <w:top w:val="single" w:sz="4" w:space="0" w:color="auto"/>
              <w:bottom w:val="single" w:sz="4" w:space="0" w:color="auto"/>
            </w:tcBorders>
            <w:noWrap/>
            <w:vAlign w:val="bottom"/>
            <w:hideMark/>
          </w:tcPr>
          <w:p w14:paraId="57FB026A" w14:textId="77777777" w:rsidR="000153F8" w:rsidRDefault="000153F8">
            <w:pPr>
              <w:jc w:val="center"/>
              <w:rPr>
                <w:color w:val="505050"/>
                <w:sz w:val="20"/>
                <w:szCs w:val="20"/>
                <w:lang w:eastAsia="pt-BR"/>
              </w:rPr>
            </w:pPr>
            <w:r>
              <w:rPr>
                <w:color w:val="505050"/>
                <w:sz w:val="20"/>
                <w:szCs w:val="20"/>
                <w:lang w:eastAsia="pt-BR"/>
              </w:rPr>
              <w:t>2,45</w:t>
            </w:r>
          </w:p>
        </w:tc>
        <w:tc>
          <w:tcPr>
            <w:tcW w:w="1232" w:type="dxa"/>
            <w:tcBorders>
              <w:top w:val="single" w:sz="4" w:space="0" w:color="auto"/>
              <w:bottom w:val="single" w:sz="4" w:space="0" w:color="auto"/>
            </w:tcBorders>
            <w:noWrap/>
            <w:vAlign w:val="bottom"/>
            <w:hideMark/>
          </w:tcPr>
          <w:p w14:paraId="53987AFE" w14:textId="77777777" w:rsidR="000153F8" w:rsidRDefault="000153F8">
            <w:pPr>
              <w:keepNext/>
              <w:jc w:val="center"/>
              <w:rPr>
                <w:color w:val="505050"/>
                <w:sz w:val="20"/>
                <w:szCs w:val="20"/>
                <w:lang w:eastAsia="pt-BR"/>
              </w:rPr>
            </w:pPr>
            <w:r>
              <w:rPr>
                <w:color w:val="505050"/>
                <w:sz w:val="20"/>
                <w:szCs w:val="20"/>
                <w:lang w:eastAsia="pt-BR"/>
              </w:rPr>
              <w:t>1,01</w:t>
            </w:r>
          </w:p>
        </w:tc>
      </w:tr>
    </w:tbl>
    <w:p w14:paraId="71C179B4" w14:textId="5B6EBBAB" w:rsidR="000E648F" w:rsidRDefault="000153F8" w:rsidP="000153F8">
      <w:pPr>
        <w:spacing w:after="120" w:line="360" w:lineRule="auto"/>
        <w:jc w:val="center"/>
      </w:pPr>
      <w:r>
        <w:t>Fonte – os autores, 2018.</w:t>
      </w:r>
    </w:p>
    <w:p w14:paraId="5E55461C" w14:textId="77777777" w:rsidR="00B12F42" w:rsidRPr="00B12F42" w:rsidRDefault="00B12F42" w:rsidP="00B12F42">
      <w:pPr>
        <w:spacing w:after="120" w:line="360" w:lineRule="auto"/>
        <w:jc w:val="both"/>
      </w:pPr>
      <w:r w:rsidRPr="00B12F42">
        <w:t xml:space="preserve">O modelo de </w:t>
      </w:r>
      <w:proofErr w:type="spellStart"/>
      <w:r w:rsidRPr="00B12F42">
        <w:t>Rezaei</w:t>
      </w:r>
      <w:proofErr w:type="spellEnd"/>
      <w:r w:rsidRPr="00B12F42">
        <w:t xml:space="preserve"> </w:t>
      </w:r>
      <w:proofErr w:type="gramStart"/>
      <w:r w:rsidRPr="00B12F42">
        <w:rPr>
          <w:i/>
        </w:rPr>
        <w:t>et</w:t>
      </w:r>
      <w:proofErr w:type="gramEnd"/>
      <w:r w:rsidRPr="00B12F42">
        <w:rPr>
          <w:i/>
        </w:rPr>
        <w:t xml:space="preserve"> al</w:t>
      </w:r>
      <w:r w:rsidRPr="00B12F42">
        <w:t xml:space="preserve">. (2018), intitulado </w:t>
      </w:r>
      <w:proofErr w:type="spellStart"/>
      <w:r w:rsidRPr="00B12F42">
        <w:t>LPIw</w:t>
      </w:r>
      <w:proofErr w:type="spellEnd"/>
      <w:r w:rsidRPr="00B12F42">
        <w:t xml:space="preserve">, considera a infraestrutura a área com maior peso, seguido por qualidade dos serviços de logística, pontualidade, alfândega, remessas internacionais e rastreio e monitoramento. No LPI, conforme quadro </w:t>
      </w:r>
      <w:proofErr w:type="gramStart"/>
      <w:r w:rsidRPr="00B12F42">
        <w:t>1</w:t>
      </w:r>
      <w:proofErr w:type="gramEnd"/>
      <w:r w:rsidRPr="00B12F42">
        <w:t xml:space="preserve">, os pesos dos indicadores são basicamente os mesmos (ARVIS </w:t>
      </w:r>
      <w:r w:rsidRPr="00B12F42">
        <w:rPr>
          <w:i/>
        </w:rPr>
        <w:t>et al</w:t>
      </w:r>
      <w:r w:rsidRPr="00B12F42">
        <w:t xml:space="preserve">., 2014; 2016; 2018). Assim, </w:t>
      </w:r>
      <w:proofErr w:type="spellStart"/>
      <w:r w:rsidRPr="00B12F42">
        <w:t>Rezaei</w:t>
      </w:r>
      <w:proofErr w:type="spellEnd"/>
      <w:r w:rsidRPr="00B12F42">
        <w:t xml:space="preserve"> </w:t>
      </w:r>
      <w:proofErr w:type="gramStart"/>
      <w:r w:rsidRPr="00B12F42">
        <w:rPr>
          <w:i/>
        </w:rPr>
        <w:t>et</w:t>
      </w:r>
      <w:proofErr w:type="gramEnd"/>
      <w:r w:rsidRPr="00B12F42">
        <w:rPr>
          <w:i/>
        </w:rPr>
        <w:t xml:space="preserve"> al</w:t>
      </w:r>
      <w:r w:rsidRPr="00B12F42">
        <w:t xml:space="preserve">. (2018) sugerem que as principais áreas para melhorar o desempenho são infraestrutura e qualidade dos serviços logísticos. No entanto, apesar desses valores não fornecerem orientação suficiente para um desenho de políticas, a identificação de escores relativamente fracos são um ponto de partida (REZAEI </w:t>
      </w:r>
      <w:proofErr w:type="gramStart"/>
      <w:r w:rsidRPr="00B12F42">
        <w:rPr>
          <w:i/>
        </w:rPr>
        <w:t>et</w:t>
      </w:r>
      <w:proofErr w:type="gramEnd"/>
      <w:r w:rsidRPr="00B12F42">
        <w:rPr>
          <w:i/>
        </w:rPr>
        <w:t xml:space="preserve"> al</w:t>
      </w:r>
      <w:r w:rsidRPr="00B12F42">
        <w:t xml:space="preserve">., 2018). </w:t>
      </w:r>
    </w:p>
    <w:p w14:paraId="086F7F42" w14:textId="77777777" w:rsidR="00B12F42" w:rsidRPr="00B12F42" w:rsidRDefault="00B12F42" w:rsidP="00B12F42">
      <w:pPr>
        <w:spacing w:after="120" w:line="360" w:lineRule="auto"/>
        <w:jc w:val="both"/>
      </w:pPr>
      <w:r w:rsidRPr="00B12F42">
        <w:t xml:space="preserve">As análises se basearam nas pontuações do Brasil no LPI entre 2007 e 2018 em cada dimensão específica, bem como sua pontuação global, conforme quadro do Apêndice A. Esses dados foram agrupados em categorias conforme o ano de avaliação, no período de 2007 e 2018. A pontuação do país em cada dimensão foi utilizada para calcular os indicadores LPI e </w:t>
      </w:r>
      <w:proofErr w:type="spellStart"/>
      <w:proofErr w:type="gramStart"/>
      <w:r w:rsidRPr="00B12F42">
        <w:t>LPIw</w:t>
      </w:r>
      <w:proofErr w:type="spellEnd"/>
      <w:proofErr w:type="gramEnd"/>
      <w:r w:rsidRPr="00B12F42">
        <w:t xml:space="preserve">, conforme pesos do quadro 1. Os resultados de cada indicador foram apresentados em gráficos por ano de avaliação, conforme figuras 1 a 6 no capítulo 4. Os gráficos apresentados apresentam o desempenho do LPI e do </w:t>
      </w:r>
      <w:proofErr w:type="spellStart"/>
      <w:proofErr w:type="gramStart"/>
      <w:r w:rsidRPr="00B12F42">
        <w:t>LPIw</w:t>
      </w:r>
      <w:proofErr w:type="spellEnd"/>
      <w:proofErr w:type="gramEnd"/>
      <w:r w:rsidRPr="00B12F42">
        <w:t xml:space="preserve">. Ainda, os indicadores LPI e </w:t>
      </w:r>
      <w:proofErr w:type="spellStart"/>
      <w:proofErr w:type="gramStart"/>
      <w:r w:rsidRPr="00B12F42">
        <w:t>LPIw</w:t>
      </w:r>
      <w:proofErr w:type="spellEnd"/>
      <w:proofErr w:type="gramEnd"/>
      <w:r w:rsidRPr="00B12F42">
        <w:t xml:space="preserve"> que apresentaram maior diferença foram analisados, visto que, conforme </w:t>
      </w:r>
      <w:proofErr w:type="spellStart"/>
      <w:r w:rsidRPr="00B12F42">
        <w:t>Rezaei</w:t>
      </w:r>
      <w:proofErr w:type="spellEnd"/>
      <w:r w:rsidRPr="00B12F42">
        <w:t xml:space="preserve"> </w:t>
      </w:r>
      <w:r w:rsidRPr="00B12F42">
        <w:rPr>
          <w:i/>
        </w:rPr>
        <w:t>et al</w:t>
      </w:r>
      <w:r w:rsidRPr="00B12F42">
        <w:t>. (2018), são considerados críticos para os resultados do desempenho do país.</w:t>
      </w:r>
    </w:p>
    <w:p w14:paraId="2666EE4C" w14:textId="13BC738E" w:rsidR="000E648F" w:rsidRPr="00B12F42" w:rsidRDefault="00B12F42" w:rsidP="00AB4A0B">
      <w:pPr>
        <w:spacing w:after="120" w:line="360" w:lineRule="auto"/>
        <w:jc w:val="both"/>
        <w:rPr>
          <w:rStyle w:val="TtulodoLivro"/>
        </w:rPr>
      </w:pPr>
      <w:r w:rsidRPr="00B12F42">
        <w:rPr>
          <w:rStyle w:val="TtulodoLivro"/>
        </w:rPr>
        <w:lastRenderedPageBreak/>
        <w:t xml:space="preserve">Resultados e Discussões </w:t>
      </w:r>
    </w:p>
    <w:p w14:paraId="68510380" w14:textId="4B9531D4" w:rsidR="00B12F42" w:rsidRDefault="00B12F42" w:rsidP="00B12F42">
      <w:pPr>
        <w:spacing w:after="120" w:line="360" w:lineRule="auto"/>
        <w:jc w:val="both"/>
      </w:pPr>
      <w:r w:rsidRPr="00B12F42">
        <w:t xml:space="preserve">Em 2007, o Brasil ocupou a 61ª posição no ranking do LPI e seu pior desempenho, conforme figura 1, foi em alfandega, enquanto que se melhor desempenho foi na dimensão pontualidade. Esse comportamento do desempenho permaneceu constante ao longo dos anos analisados, conforme figuras 1 a 6. A componente alfândega é considerada crítica para o desempenho logístico dos países na América do Sul (MARTÍ </w:t>
      </w:r>
      <w:proofErr w:type="gramStart"/>
      <w:r w:rsidRPr="00B12F42">
        <w:rPr>
          <w:i/>
        </w:rPr>
        <w:t>et</w:t>
      </w:r>
      <w:proofErr w:type="gramEnd"/>
      <w:r w:rsidRPr="00B12F42">
        <w:rPr>
          <w:i/>
        </w:rPr>
        <w:t xml:space="preserve"> al</w:t>
      </w:r>
      <w:r w:rsidRPr="00B12F42">
        <w:t xml:space="preserve">., 2014; MARTÍ; PUERTAS, 2017). Para que o país passe para um nível de exportação alto, são necessárias políticas para melhorias nesse sentido (KABAK </w:t>
      </w:r>
      <w:proofErr w:type="gramStart"/>
      <w:r w:rsidRPr="00B12F42">
        <w:rPr>
          <w:i/>
        </w:rPr>
        <w:t>et</w:t>
      </w:r>
      <w:proofErr w:type="gramEnd"/>
      <w:r w:rsidRPr="00B12F42">
        <w:rPr>
          <w:i/>
        </w:rPr>
        <w:t xml:space="preserve"> al</w:t>
      </w:r>
      <w:r w:rsidRPr="00B12F42">
        <w:t>., 2018).</w:t>
      </w:r>
    </w:p>
    <w:p w14:paraId="3ABEC9BA" w14:textId="77777777" w:rsidR="003F0C4A" w:rsidRPr="00B12F42" w:rsidRDefault="003F0C4A" w:rsidP="00B12F42">
      <w:pPr>
        <w:spacing w:after="120" w:line="360" w:lineRule="auto"/>
        <w:jc w:val="both"/>
      </w:pPr>
    </w:p>
    <w:p w14:paraId="749721F1" w14:textId="69800E34" w:rsidR="00B12F42" w:rsidRDefault="00B12F42" w:rsidP="00B12F42">
      <w:pPr>
        <w:spacing w:after="120"/>
        <w:ind w:firstLine="142"/>
        <w:jc w:val="center"/>
      </w:pPr>
      <w:r>
        <w:t xml:space="preserve">Figura </w:t>
      </w:r>
      <w:fldSimple w:instr=" SEQ Figura \* ARABIC ">
        <w:r w:rsidR="00DA5D4D">
          <w:rPr>
            <w:noProof/>
          </w:rPr>
          <w:t>2</w:t>
        </w:r>
      </w:fldSimple>
      <w:r>
        <w:t>.</w:t>
      </w:r>
      <w:r w:rsidRPr="00B12F42">
        <w:t xml:space="preserve"> Gráfico radar de desempenho do Brasil no LPI em 2007 para cada indicador relacionado, considerando o método LPI e o método </w:t>
      </w:r>
      <w:proofErr w:type="spellStart"/>
      <w:proofErr w:type="gramStart"/>
      <w:r w:rsidRPr="00B12F42">
        <w:t>LPIw</w:t>
      </w:r>
      <w:proofErr w:type="spellEnd"/>
      <w:proofErr w:type="gramEnd"/>
    </w:p>
    <w:p w14:paraId="02CD2977" w14:textId="76BFBAC0" w:rsidR="00B12F42" w:rsidRDefault="00B12F42" w:rsidP="00AB4A0B">
      <w:pPr>
        <w:spacing w:after="120" w:line="360" w:lineRule="auto"/>
        <w:jc w:val="both"/>
      </w:pPr>
      <w:r>
        <w:rPr>
          <w:noProof/>
          <w:lang w:eastAsia="pt-BR"/>
        </w:rPr>
        <w:drawing>
          <wp:inline distT="0" distB="0" distL="0" distR="0" wp14:anchorId="346C56AE" wp14:editId="3B461FA9">
            <wp:extent cx="5562600" cy="2409825"/>
            <wp:effectExtent l="0" t="0" r="19050"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C2E223C" w14:textId="20E42D24" w:rsidR="007A204D" w:rsidRDefault="00B12F42" w:rsidP="007A204D">
      <w:pPr>
        <w:spacing w:after="120"/>
        <w:jc w:val="center"/>
      </w:pPr>
      <w:r>
        <w:t>Font</w:t>
      </w:r>
      <w:r w:rsidR="00E9197F">
        <w:t xml:space="preserve">e </w:t>
      </w:r>
      <w:r w:rsidR="007A204D">
        <w:t>–</w:t>
      </w:r>
      <w:r>
        <w:t xml:space="preserve"> </w:t>
      </w:r>
      <w:r w:rsidR="007A204D">
        <w:t>os autores, 2018.</w:t>
      </w:r>
    </w:p>
    <w:p w14:paraId="7B2A63E9" w14:textId="77777777" w:rsidR="007A204D" w:rsidRDefault="007A204D" w:rsidP="007B31A0">
      <w:pPr>
        <w:spacing w:after="120" w:line="360" w:lineRule="auto"/>
        <w:jc w:val="both"/>
      </w:pPr>
    </w:p>
    <w:p w14:paraId="6F0E31CC" w14:textId="77777777" w:rsidR="007B31A0" w:rsidRPr="007B31A0" w:rsidRDefault="007B31A0" w:rsidP="007B31A0">
      <w:pPr>
        <w:spacing w:after="120" w:line="360" w:lineRule="auto"/>
        <w:jc w:val="both"/>
      </w:pPr>
      <w:r w:rsidRPr="007B31A0">
        <w:t xml:space="preserve">No </w:t>
      </w:r>
      <w:proofErr w:type="spellStart"/>
      <w:proofErr w:type="gramStart"/>
      <w:r w:rsidRPr="007B31A0">
        <w:t>LPIw</w:t>
      </w:r>
      <w:proofErr w:type="spellEnd"/>
      <w:proofErr w:type="gramEnd"/>
      <w:r w:rsidRPr="007B31A0">
        <w:t xml:space="preserve">, a dimensão infraestrutura obteve o melhor desempenho entre os indicadores, seguido pela qualidade nos serviços e pontualidade. No LPI, o indicador pontualidade tem a maior participação no desempenho, seguido pela qualidade dos serviços. A comparação dos resultados do LPI com </w:t>
      </w:r>
      <w:proofErr w:type="spellStart"/>
      <w:proofErr w:type="gramStart"/>
      <w:r w:rsidRPr="007B31A0">
        <w:t>LPIw</w:t>
      </w:r>
      <w:proofErr w:type="spellEnd"/>
      <w:proofErr w:type="gramEnd"/>
      <w:r w:rsidRPr="007B31A0">
        <w:t xml:space="preserve"> evidenciou diferença nos indicadores de infraestrutura, rastreio e monitoramento e qualidade de serviços. Para o </w:t>
      </w:r>
      <w:proofErr w:type="spellStart"/>
      <w:proofErr w:type="gramStart"/>
      <w:r w:rsidRPr="007B31A0">
        <w:t>LPIw</w:t>
      </w:r>
      <w:proofErr w:type="spellEnd"/>
      <w:proofErr w:type="gramEnd"/>
      <w:r w:rsidRPr="007B31A0">
        <w:t xml:space="preserve">, o desempenho do país nas dimensões infraestrutura e qualidade dos serviços logísticos é maior do que no LPI, enquanto que o desempenho em rastreio e monitoramento é menor no </w:t>
      </w:r>
      <w:proofErr w:type="spellStart"/>
      <w:r w:rsidRPr="007B31A0">
        <w:t>LPIw</w:t>
      </w:r>
      <w:proofErr w:type="spellEnd"/>
      <w:r w:rsidRPr="007B31A0">
        <w:t xml:space="preserve">. </w:t>
      </w:r>
    </w:p>
    <w:p w14:paraId="50E518F7" w14:textId="444DC142" w:rsidR="007B31A0" w:rsidRDefault="007B31A0" w:rsidP="007B31A0">
      <w:pPr>
        <w:spacing w:after="120" w:line="360" w:lineRule="auto"/>
        <w:jc w:val="both"/>
      </w:pPr>
      <w:r w:rsidRPr="007B31A0">
        <w:t xml:space="preserve">No entanto, os indicadores infraestrutura e qualidade dos serviços têm maior peso no </w:t>
      </w:r>
      <w:proofErr w:type="spellStart"/>
      <w:proofErr w:type="gramStart"/>
      <w:r w:rsidRPr="007B31A0">
        <w:t>LPIw</w:t>
      </w:r>
      <w:proofErr w:type="spellEnd"/>
      <w:proofErr w:type="gramEnd"/>
      <w:r w:rsidRPr="007B31A0">
        <w:t xml:space="preserve">, o que justifica essa diferença. O quadro </w:t>
      </w:r>
      <w:proofErr w:type="gramStart"/>
      <w:r w:rsidRPr="007B31A0">
        <w:t>2</w:t>
      </w:r>
      <w:proofErr w:type="gramEnd"/>
      <w:r w:rsidRPr="007B31A0">
        <w:t xml:space="preserve"> apresenta as diferenças identificadas entre os índices. A dimensão rastreio e monitoramento, que apresenta o menor peso no </w:t>
      </w:r>
      <w:proofErr w:type="spellStart"/>
      <w:proofErr w:type="gramStart"/>
      <w:r w:rsidRPr="007B31A0">
        <w:t>LPIw</w:t>
      </w:r>
      <w:proofErr w:type="spellEnd"/>
      <w:proofErr w:type="gramEnd"/>
      <w:r w:rsidRPr="007B31A0">
        <w:t xml:space="preserve">, conforme </w:t>
      </w:r>
      <w:r w:rsidRPr="007B31A0">
        <w:lastRenderedPageBreak/>
        <w:t xml:space="preserve">Quadro 1 e Quadro 2, teve melhor desempenho no LPI do que as dimensões alfândega e expedição internacional, consideradas mais importantes conforme </w:t>
      </w:r>
      <w:proofErr w:type="spellStart"/>
      <w:r w:rsidRPr="007B31A0">
        <w:t>LPIw</w:t>
      </w:r>
      <w:proofErr w:type="spellEnd"/>
      <w:r w:rsidRPr="007B31A0">
        <w:t xml:space="preserve">. </w:t>
      </w:r>
    </w:p>
    <w:p w14:paraId="75FBCEE6" w14:textId="77777777" w:rsidR="003F0C4A" w:rsidRPr="007B31A0" w:rsidRDefault="003F0C4A" w:rsidP="007B31A0">
      <w:pPr>
        <w:spacing w:after="120" w:line="360" w:lineRule="auto"/>
        <w:jc w:val="both"/>
      </w:pPr>
    </w:p>
    <w:p w14:paraId="55AA9AED" w14:textId="1C79D89E" w:rsidR="00E9197F" w:rsidRDefault="00E9197F" w:rsidP="00E9197F">
      <w:pPr>
        <w:spacing w:after="120"/>
        <w:ind w:firstLine="142"/>
        <w:jc w:val="center"/>
      </w:pPr>
      <w:r>
        <w:t xml:space="preserve">Tabela </w:t>
      </w:r>
      <w:fldSimple w:instr=" SEQ Tabela \* ARABIC ">
        <w:r w:rsidR="00C8627B">
          <w:rPr>
            <w:noProof/>
          </w:rPr>
          <w:t>2</w:t>
        </w:r>
      </w:fldSimple>
      <w:r>
        <w:t>.</w:t>
      </w:r>
      <w:r w:rsidRPr="00E9197F">
        <w:t xml:space="preserve"> Diferença entre LPI e </w:t>
      </w:r>
      <w:proofErr w:type="spellStart"/>
      <w:proofErr w:type="gramStart"/>
      <w:r w:rsidRPr="00E9197F">
        <w:t>LPIw</w:t>
      </w:r>
      <w:proofErr w:type="spellEnd"/>
      <w:proofErr w:type="gramEnd"/>
      <w:r w:rsidRPr="00E9197F">
        <w:t xml:space="preserve"> no resultado de desempenho de cada indicador por ano de análise</w:t>
      </w:r>
    </w:p>
    <w:tbl>
      <w:tblPr>
        <w:tblW w:w="9141" w:type="dxa"/>
        <w:jc w:val="center"/>
        <w:tblCellMar>
          <w:left w:w="70" w:type="dxa"/>
          <w:right w:w="70" w:type="dxa"/>
        </w:tblCellMar>
        <w:tblLook w:val="04A0" w:firstRow="1" w:lastRow="0" w:firstColumn="1" w:lastColumn="0" w:noHBand="0" w:noVBand="1"/>
      </w:tblPr>
      <w:tblGrid>
        <w:gridCol w:w="590"/>
        <w:gridCol w:w="1021"/>
        <w:gridCol w:w="1350"/>
        <w:gridCol w:w="1436"/>
        <w:gridCol w:w="1159"/>
        <w:gridCol w:w="1643"/>
        <w:gridCol w:w="1251"/>
        <w:gridCol w:w="691"/>
      </w:tblGrid>
      <w:tr w:rsidR="007B31A0" w14:paraId="28ECDFF4" w14:textId="77777777" w:rsidTr="007B31A0">
        <w:trPr>
          <w:trHeight w:val="519"/>
          <w:jc w:val="center"/>
        </w:trPr>
        <w:tc>
          <w:tcPr>
            <w:tcW w:w="590" w:type="dxa"/>
            <w:tcBorders>
              <w:top w:val="single" w:sz="4" w:space="0" w:color="auto"/>
              <w:bottom w:val="single" w:sz="4" w:space="0" w:color="auto"/>
            </w:tcBorders>
            <w:shd w:val="clear" w:color="auto" w:fill="D9D9D9" w:themeFill="background1" w:themeFillShade="D9"/>
            <w:noWrap/>
            <w:vAlign w:val="center"/>
            <w:hideMark/>
          </w:tcPr>
          <w:p w14:paraId="586782F2" w14:textId="7FFB9EEF" w:rsidR="007B31A0" w:rsidRDefault="007B31A0" w:rsidP="007B31A0">
            <w:pPr>
              <w:jc w:val="center"/>
              <w:rPr>
                <w:rFonts w:asciiTheme="minorHAnsi" w:eastAsiaTheme="minorHAnsi" w:hAnsiTheme="minorHAnsi"/>
                <w:sz w:val="22"/>
                <w:szCs w:val="22"/>
              </w:rPr>
            </w:pPr>
            <w:r w:rsidRPr="007B31A0">
              <w:rPr>
                <w:b/>
                <w:bCs/>
                <w:color w:val="505050"/>
                <w:sz w:val="18"/>
                <w:szCs w:val="18"/>
                <w:lang w:eastAsia="pt-BR"/>
              </w:rPr>
              <w:t>Ano</w:t>
            </w:r>
          </w:p>
        </w:tc>
        <w:tc>
          <w:tcPr>
            <w:tcW w:w="1021" w:type="dxa"/>
            <w:tcBorders>
              <w:top w:val="single" w:sz="4" w:space="0" w:color="auto"/>
              <w:left w:val="nil"/>
              <w:bottom w:val="single" w:sz="4" w:space="0" w:color="auto"/>
              <w:right w:val="nil"/>
            </w:tcBorders>
            <w:shd w:val="clear" w:color="auto" w:fill="D9D9D9" w:themeFill="background1" w:themeFillShade="D9"/>
            <w:vAlign w:val="center"/>
            <w:hideMark/>
          </w:tcPr>
          <w:p w14:paraId="1617750E" w14:textId="77777777" w:rsidR="007B31A0" w:rsidRDefault="007B31A0">
            <w:pPr>
              <w:jc w:val="center"/>
              <w:rPr>
                <w:b/>
                <w:bCs/>
                <w:color w:val="505050"/>
                <w:sz w:val="18"/>
                <w:szCs w:val="18"/>
                <w:lang w:eastAsia="pt-BR"/>
              </w:rPr>
            </w:pPr>
            <w:r>
              <w:rPr>
                <w:b/>
                <w:bCs/>
                <w:color w:val="505050"/>
                <w:sz w:val="18"/>
                <w:szCs w:val="18"/>
                <w:lang w:eastAsia="pt-BR"/>
              </w:rPr>
              <w:t>Alfândega</w:t>
            </w:r>
          </w:p>
        </w:tc>
        <w:tc>
          <w:tcPr>
            <w:tcW w:w="1350" w:type="dxa"/>
            <w:tcBorders>
              <w:top w:val="single" w:sz="4" w:space="0" w:color="auto"/>
              <w:left w:val="nil"/>
              <w:bottom w:val="single" w:sz="4" w:space="0" w:color="auto"/>
              <w:right w:val="nil"/>
            </w:tcBorders>
            <w:shd w:val="clear" w:color="auto" w:fill="D9D9D9" w:themeFill="background1" w:themeFillShade="D9"/>
            <w:vAlign w:val="center"/>
            <w:hideMark/>
          </w:tcPr>
          <w:p w14:paraId="1CF24639" w14:textId="77777777" w:rsidR="007B31A0" w:rsidRDefault="007B31A0">
            <w:pPr>
              <w:jc w:val="center"/>
              <w:rPr>
                <w:b/>
                <w:bCs/>
                <w:color w:val="505050"/>
                <w:sz w:val="18"/>
                <w:szCs w:val="18"/>
                <w:lang w:eastAsia="pt-BR"/>
              </w:rPr>
            </w:pPr>
            <w:r>
              <w:rPr>
                <w:b/>
                <w:bCs/>
                <w:color w:val="505050"/>
                <w:sz w:val="18"/>
                <w:szCs w:val="18"/>
                <w:lang w:eastAsia="pt-BR"/>
              </w:rPr>
              <w:t>Infraestrutura</w:t>
            </w:r>
          </w:p>
        </w:tc>
        <w:tc>
          <w:tcPr>
            <w:tcW w:w="1436" w:type="dxa"/>
            <w:tcBorders>
              <w:top w:val="single" w:sz="4" w:space="0" w:color="auto"/>
              <w:left w:val="nil"/>
              <w:bottom w:val="single" w:sz="4" w:space="0" w:color="auto"/>
              <w:right w:val="nil"/>
            </w:tcBorders>
            <w:shd w:val="clear" w:color="auto" w:fill="D9D9D9" w:themeFill="background1" w:themeFillShade="D9"/>
            <w:vAlign w:val="center"/>
            <w:hideMark/>
          </w:tcPr>
          <w:p w14:paraId="157CABA9" w14:textId="77777777" w:rsidR="007B31A0" w:rsidRDefault="007B31A0">
            <w:pPr>
              <w:jc w:val="center"/>
              <w:rPr>
                <w:b/>
                <w:bCs/>
                <w:color w:val="505050"/>
                <w:sz w:val="18"/>
                <w:szCs w:val="18"/>
                <w:lang w:eastAsia="pt-BR"/>
              </w:rPr>
            </w:pPr>
            <w:r>
              <w:rPr>
                <w:b/>
                <w:bCs/>
                <w:color w:val="505050"/>
                <w:sz w:val="18"/>
                <w:szCs w:val="18"/>
                <w:lang w:eastAsia="pt-BR"/>
              </w:rPr>
              <w:t>Expedição internacional</w:t>
            </w:r>
          </w:p>
        </w:tc>
        <w:tc>
          <w:tcPr>
            <w:tcW w:w="1159" w:type="dxa"/>
            <w:tcBorders>
              <w:top w:val="single" w:sz="4" w:space="0" w:color="auto"/>
              <w:left w:val="nil"/>
              <w:bottom w:val="single" w:sz="4" w:space="0" w:color="auto"/>
              <w:right w:val="nil"/>
            </w:tcBorders>
            <w:shd w:val="clear" w:color="auto" w:fill="D9D9D9" w:themeFill="background1" w:themeFillShade="D9"/>
            <w:vAlign w:val="center"/>
            <w:hideMark/>
          </w:tcPr>
          <w:p w14:paraId="6AD239A6" w14:textId="77777777" w:rsidR="007B31A0" w:rsidRDefault="007B31A0">
            <w:pPr>
              <w:jc w:val="center"/>
              <w:rPr>
                <w:b/>
                <w:bCs/>
                <w:color w:val="505050"/>
                <w:sz w:val="18"/>
                <w:szCs w:val="18"/>
                <w:lang w:eastAsia="pt-BR"/>
              </w:rPr>
            </w:pPr>
            <w:r>
              <w:rPr>
                <w:b/>
                <w:bCs/>
                <w:color w:val="505050"/>
                <w:sz w:val="18"/>
                <w:szCs w:val="18"/>
                <w:lang w:eastAsia="pt-BR"/>
              </w:rPr>
              <w:t>Qualidade Serviços</w:t>
            </w:r>
          </w:p>
        </w:tc>
        <w:tc>
          <w:tcPr>
            <w:tcW w:w="1643" w:type="dxa"/>
            <w:tcBorders>
              <w:top w:val="single" w:sz="4" w:space="0" w:color="auto"/>
              <w:left w:val="nil"/>
              <w:bottom w:val="single" w:sz="4" w:space="0" w:color="auto"/>
              <w:right w:val="nil"/>
            </w:tcBorders>
            <w:shd w:val="clear" w:color="auto" w:fill="D9D9D9" w:themeFill="background1" w:themeFillShade="D9"/>
            <w:vAlign w:val="center"/>
            <w:hideMark/>
          </w:tcPr>
          <w:p w14:paraId="1DFA8B8B" w14:textId="77777777" w:rsidR="007B31A0" w:rsidRDefault="007B31A0">
            <w:pPr>
              <w:jc w:val="center"/>
              <w:rPr>
                <w:b/>
                <w:bCs/>
                <w:color w:val="505050"/>
                <w:sz w:val="18"/>
                <w:szCs w:val="18"/>
                <w:lang w:eastAsia="pt-BR"/>
              </w:rPr>
            </w:pPr>
            <w:r>
              <w:rPr>
                <w:b/>
                <w:bCs/>
                <w:color w:val="505050"/>
                <w:sz w:val="18"/>
                <w:szCs w:val="18"/>
                <w:lang w:eastAsia="pt-BR"/>
              </w:rPr>
              <w:t>Rastreio e Monitoramento</w:t>
            </w:r>
          </w:p>
        </w:tc>
        <w:tc>
          <w:tcPr>
            <w:tcW w:w="1251" w:type="dxa"/>
            <w:tcBorders>
              <w:top w:val="single" w:sz="4" w:space="0" w:color="auto"/>
              <w:left w:val="nil"/>
              <w:bottom w:val="single" w:sz="4" w:space="0" w:color="auto"/>
              <w:right w:val="nil"/>
            </w:tcBorders>
            <w:shd w:val="clear" w:color="auto" w:fill="D9D9D9" w:themeFill="background1" w:themeFillShade="D9"/>
            <w:vAlign w:val="center"/>
            <w:hideMark/>
          </w:tcPr>
          <w:p w14:paraId="2FC81F40" w14:textId="77777777" w:rsidR="007B31A0" w:rsidRDefault="007B31A0">
            <w:pPr>
              <w:jc w:val="center"/>
              <w:rPr>
                <w:b/>
                <w:bCs/>
                <w:color w:val="505050"/>
                <w:sz w:val="18"/>
                <w:szCs w:val="18"/>
                <w:lang w:eastAsia="pt-BR"/>
              </w:rPr>
            </w:pPr>
            <w:r>
              <w:rPr>
                <w:b/>
                <w:bCs/>
                <w:color w:val="505050"/>
                <w:sz w:val="18"/>
                <w:szCs w:val="18"/>
                <w:lang w:eastAsia="pt-BR"/>
              </w:rPr>
              <w:t>Pontualidade</w:t>
            </w:r>
          </w:p>
        </w:tc>
        <w:tc>
          <w:tcPr>
            <w:tcW w:w="691" w:type="dxa"/>
            <w:tcBorders>
              <w:top w:val="single" w:sz="4" w:space="0" w:color="auto"/>
              <w:left w:val="nil"/>
              <w:bottom w:val="single" w:sz="4" w:space="0" w:color="auto"/>
              <w:right w:val="nil"/>
            </w:tcBorders>
            <w:shd w:val="clear" w:color="auto" w:fill="D9D9D9" w:themeFill="background1" w:themeFillShade="D9"/>
            <w:vAlign w:val="center"/>
            <w:hideMark/>
          </w:tcPr>
          <w:p w14:paraId="2B63A63B" w14:textId="77777777" w:rsidR="007B31A0" w:rsidRDefault="007B31A0">
            <w:pPr>
              <w:jc w:val="center"/>
              <w:rPr>
                <w:b/>
                <w:bCs/>
                <w:color w:val="505050"/>
                <w:sz w:val="18"/>
                <w:szCs w:val="18"/>
                <w:lang w:eastAsia="pt-BR"/>
              </w:rPr>
            </w:pPr>
            <w:r>
              <w:rPr>
                <w:b/>
                <w:bCs/>
                <w:color w:val="505050"/>
                <w:sz w:val="18"/>
                <w:szCs w:val="18"/>
                <w:lang w:eastAsia="pt-BR"/>
              </w:rPr>
              <w:t xml:space="preserve">LPI - </w:t>
            </w:r>
            <w:proofErr w:type="spellStart"/>
            <w:proofErr w:type="gramStart"/>
            <w:r>
              <w:rPr>
                <w:b/>
                <w:bCs/>
                <w:color w:val="505050"/>
                <w:sz w:val="18"/>
                <w:szCs w:val="18"/>
                <w:lang w:eastAsia="pt-BR"/>
              </w:rPr>
              <w:t>LPIw</w:t>
            </w:r>
            <w:proofErr w:type="spellEnd"/>
            <w:proofErr w:type="gramEnd"/>
          </w:p>
        </w:tc>
      </w:tr>
      <w:tr w:rsidR="007B31A0" w14:paraId="5706AB22" w14:textId="77777777" w:rsidTr="007B31A0">
        <w:trPr>
          <w:trHeight w:val="310"/>
          <w:jc w:val="center"/>
        </w:trPr>
        <w:tc>
          <w:tcPr>
            <w:tcW w:w="590" w:type="dxa"/>
            <w:tcBorders>
              <w:top w:val="single" w:sz="4" w:space="0" w:color="auto"/>
            </w:tcBorders>
            <w:noWrap/>
            <w:vAlign w:val="bottom"/>
            <w:hideMark/>
          </w:tcPr>
          <w:p w14:paraId="22586829" w14:textId="77777777" w:rsidR="007B31A0" w:rsidRDefault="007B31A0">
            <w:pPr>
              <w:jc w:val="right"/>
              <w:rPr>
                <w:color w:val="000000"/>
                <w:sz w:val="18"/>
                <w:szCs w:val="18"/>
                <w:lang w:eastAsia="pt-BR"/>
              </w:rPr>
            </w:pPr>
            <w:r>
              <w:rPr>
                <w:color w:val="000000"/>
                <w:sz w:val="18"/>
                <w:szCs w:val="18"/>
                <w:lang w:eastAsia="pt-BR"/>
              </w:rPr>
              <w:t>2007</w:t>
            </w:r>
          </w:p>
        </w:tc>
        <w:tc>
          <w:tcPr>
            <w:tcW w:w="1021" w:type="dxa"/>
            <w:tcBorders>
              <w:top w:val="single" w:sz="4" w:space="0" w:color="auto"/>
            </w:tcBorders>
            <w:noWrap/>
            <w:vAlign w:val="bottom"/>
            <w:hideMark/>
          </w:tcPr>
          <w:p w14:paraId="34A0C28A" w14:textId="77777777" w:rsidR="007B31A0" w:rsidRDefault="007B31A0">
            <w:pPr>
              <w:jc w:val="right"/>
              <w:rPr>
                <w:color w:val="000000"/>
                <w:sz w:val="18"/>
                <w:szCs w:val="18"/>
                <w:lang w:eastAsia="pt-BR"/>
              </w:rPr>
            </w:pPr>
            <w:r>
              <w:rPr>
                <w:color w:val="000000"/>
                <w:sz w:val="18"/>
                <w:szCs w:val="18"/>
                <w:lang w:eastAsia="pt-BR"/>
              </w:rPr>
              <w:t>0,01</w:t>
            </w:r>
          </w:p>
        </w:tc>
        <w:tc>
          <w:tcPr>
            <w:tcW w:w="1350" w:type="dxa"/>
            <w:tcBorders>
              <w:top w:val="single" w:sz="4" w:space="0" w:color="auto"/>
            </w:tcBorders>
            <w:shd w:val="clear" w:color="auto" w:fill="FCE4D6"/>
            <w:noWrap/>
            <w:vAlign w:val="bottom"/>
            <w:hideMark/>
          </w:tcPr>
          <w:p w14:paraId="1653F337" w14:textId="77777777" w:rsidR="007B31A0" w:rsidRDefault="007B31A0">
            <w:pPr>
              <w:jc w:val="right"/>
              <w:rPr>
                <w:color w:val="000000"/>
                <w:sz w:val="18"/>
                <w:szCs w:val="18"/>
                <w:lang w:eastAsia="pt-BR"/>
              </w:rPr>
            </w:pPr>
            <w:r>
              <w:rPr>
                <w:color w:val="000000"/>
                <w:sz w:val="18"/>
                <w:szCs w:val="18"/>
                <w:lang w:eastAsia="pt-BR"/>
              </w:rPr>
              <w:t>-0,19</w:t>
            </w:r>
          </w:p>
        </w:tc>
        <w:tc>
          <w:tcPr>
            <w:tcW w:w="1436" w:type="dxa"/>
            <w:tcBorders>
              <w:top w:val="single" w:sz="4" w:space="0" w:color="auto"/>
            </w:tcBorders>
            <w:noWrap/>
            <w:vAlign w:val="bottom"/>
            <w:hideMark/>
          </w:tcPr>
          <w:p w14:paraId="2DA6389C" w14:textId="77777777" w:rsidR="007B31A0" w:rsidRDefault="007B31A0">
            <w:pPr>
              <w:jc w:val="right"/>
              <w:rPr>
                <w:color w:val="000000"/>
                <w:sz w:val="18"/>
                <w:szCs w:val="18"/>
                <w:lang w:eastAsia="pt-BR"/>
              </w:rPr>
            </w:pPr>
            <w:r>
              <w:rPr>
                <w:color w:val="000000"/>
                <w:sz w:val="18"/>
                <w:szCs w:val="18"/>
                <w:lang w:eastAsia="pt-BR"/>
              </w:rPr>
              <w:t>0,09</w:t>
            </w:r>
          </w:p>
        </w:tc>
        <w:tc>
          <w:tcPr>
            <w:tcW w:w="1159" w:type="dxa"/>
            <w:tcBorders>
              <w:top w:val="single" w:sz="4" w:space="0" w:color="auto"/>
            </w:tcBorders>
            <w:shd w:val="clear" w:color="auto" w:fill="FDE9D9" w:themeFill="accent6" w:themeFillTint="33"/>
            <w:noWrap/>
            <w:vAlign w:val="bottom"/>
            <w:hideMark/>
          </w:tcPr>
          <w:p w14:paraId="5CD671EA" w14:textId="77777777" w:rsidR="007B31A0" w:rsidRDefault="007B31A0">
            <w:pPr>
              <w:jc w:val="right"/>
              <w:rPr>
                <w:color w:val="000000"/>
                <w:sz w:val="18"/>
                <w:szCs w:val="18"/>
                <w:lang w:eastAsia="pt-BR"/>
              </w:rPr>
            </w:pPr>
            <w:r>
              <w:rPr>
                <w:color w:val="000000"/>
                <w:sz w:val="18"/>
                <w:szCs w:val="18"/>
                <w:lang w:eastAsia="pt-BR"/>
              </w:rPr>
              <w:t>-0,14</w:t>
            </w:r>
          </w:p>
        </w:tc>
        <w:tc>
          <w:tcPr>
            <w:tcW w:w="1643" w:type="dxa"/>
            <w:tcBorders>
              <w:top w:val="single" w:sz="4" w:space="0" w:color="auto"/>
            </w:tcBorders>
            <w:shd w:val="clear" w:color="auto" w:fill="FCE4D6"/>
            <w:noWrap/>
            <w:vAlign w:val="bottom"/>
            <w:hideMark/>
          </w:tcPr>
          <w:p w14:paraId="29DD1585" w14:textId="77777777" w:rsidR="007B31A0" w:rsidRDefault="007B31A0">
            <w:pPr>
              <w:jc w:val="right"/>
              <w:rPr>
                <w:color w:val="000000"/>
                <w:sz w:val="18"/>
                <w:szCs w:val="18"/>
                <w:lang w:eastAsia="pt-BR"/>
              </w:rPr>
            </w:pPr>
            <w:r>
              <w:rPr>
                <w:color w:val="000000"/>
                <w:sz w:val="18"/>
                <w:szCs w:val="18"/>
                <w:lang w:eastAsia="pt-BR"/>
              </w:rPr>
              <w:t>0,19</w:t>
            </w:r>
          </w:p>
        </w:tc>
        <w:tc>
          <w:tcPr>
            <w:tcW w:w="1251" w:type="dxa"/>
            <w:tcBorders>
              <w:top w:val="single" w:sz="4" w:space="0" w:color="auto"/>
            </w:tcBorders>
            <w:noWrap/>
            <w:vAlign w:val="bottom"/>
            <w:hideMark/>
          </w:tcPr>
          <w:p w14:paraId="218F5E4B" w14:textId="77777777" w:rsidR="007B31A0" w:rsidRDefault="007B31A0">
            <w:pPr>
              <w:jc w:val="right"/>
              <w:rPr>
                <w:color w:val="000000"/>
                <w:sz w:val="18"/>
                <w:szCs w:val="18"/>
                <w:lang w:eastAsia="pt-BR"/>
              </w:rPr>
            </w:pPr>
            <w:r>
              <w:rPr>
                <w:color w:val="000000"/>
                <w:sz w:val="18"/>
                <w:szCs w:val="18"/>
                <w:lang w:eastAsia="pt-BR"/>
              </w:rPr>
              <w:t>0,01</w:t>
            </w:r>
          </w:p>
        </w:tc>
        <w:tc>
          <w:tcPr>
            <w:tcW w:w="691" w:type="dxa"/>
            <w:tcBorders>
              <w:top w:val="single" w:sz="4" w:space="0" w:color="auto"/>
            </w:tcBorders>
            <w:noWrap/>
            <w:vAlign w:val="bottom"/>
            <w:hideMark/>
          </w:tcPr>
          <w:p w14:paraId="142127F5" w14:textId="77777777" w:rsidR="007B31A0" w:rsidRDefault="007B31A0">
            <w:pPr>
              <w:jc w:val="right"/>
              <w:rPr>
                <w:color w:val="000000"/>
                <w:sz w:val="18"/>
                <w:szCs w:val="18"/>
                <w:lang w:eastAsia="pt-BR"/>
              </w:rPr>
            </w:pPr>
            <w:r>
              <w:rPr>
                <w:color w:val="000000"/>
                <w:sz w:val="18"/>
                <w:szCs w:val="18"/>
                <w:lang w:eastAsia="pt-BR"/>
              </w:rPr>
              <w:t>-</w:t>
            </w:r>
            <w:r>
              <w:rPr>
                <w:b/>
                <w:color w:val="000000"/>
                <w:sz w:val="18"/>
                <w:szCs w:val="18"/>
                <w:lang w:eastAsia="pt-BR"/>
              </w:rPr>
              <w:t>0,04</w:t>
            </w:r>
          </w:p>
        </w:tc>
      </w:tr>
      <w:tr w:rsidR="007B31A0" w14:paraId="44277209" w14:textId="77777777" w:rsidTr="007B31A0">
        <w:trPr>
          <w:trHeight w:val="296"/>
          <w:jc w:val="center"/>
        </w:trPr>
        <w:tc>
          <w:tcPr>
            <w:tcW w:w="590" w:type="dxa"/>
            <w:noWrap/>
            <w:vAlign w:val="bottom"/>
            <w:hideMark/>
          </w:tcPr>
          <w:p w14:paraId="35E01BFB" w14:textId="77777777" w:rsidR="007B31A0" w:rsidRDefault="007B31A0">
            <w:pPr>
              <w:jc w:val="right"/>
              <w:rPr>
                <w:color w:val="000000"/>
                <w:sz w:val="18"/>
                <w:szCs w:val="18"/>
                <w:lang w:eastAsia="pt-BR"/>
              </w:rPr>
            </w:pPr>
            <w:r>
              <w:rPr>
                <w:color w:val="000000"/>
                <w:sz w:val="18"/>
                <w:szCs w:val="18"/>
                <w:lang w:eastAsia="pt-BR"/>
              </w:rPr>
              <w:t>2010</w:t>
            </w:r>
          </w:p>
        </w:tc>
        <w:tc>
          <w:tcPr>
            <w:tcW w:w="1021" w:type="dxa"/>
            <w:noWrap/>
            <w:vAlign w:val="bottom"/>
            <w:hideMark/>
          </w:tcPr>
          <w:p w14:paraId="719E43D9" w14:textId="77777777" w:rsidR="007B31A0" w:rsidRDefault="007B31A0">
            <w:pPr>
              <w:jc w:val="right"/>
              <w:rPr>
                <w:color w:val="000000"/>
                <w:sz w:val="18"/>
                <w:szCs w:val="18"/>
                <w:lang w:eastAsia="pt-BR"/>
              </w:rPr>
            </w:pPr>
            <w:r>
              <w:rPr>
                <w:color w:val="000000"/>
                <w:sz w:val="18"/>
                <w:szCs w:val="18"/>
                <w:lang w:eastAsia="pt-BR"/>
              </w:rPr>
              <w:t>0,01</w:t>
            </w:r>
          </w:p>
        </w:tc>
        <w:tc>
          <w:tcPr>
            <w:tcW w:w="1350" w:type="dxa"/>
            <w:shd w:val="clear" w:color="auto" w:fill="FCE4D6"/>
            <w:noWrap/>
            <w:vAlign w:val="bottom"/>
            <w:hideMark/>
          </w:tcPr>
          <w:p w14:paraId="5F9DC99A" w14:textId="77777777" w:rsidR="007B31A0" w:rsidRDefault="007B31A0">
            <w:pPr>
              <w:jc w:val="right"/>
              <w:rPr>
                <w:color w:val="000000"/>
                <w:sz w:val="18"/>
                <w:szCs w:val="18"/>
                <w:lang w:eastAsia="pt-BR"/>
              </w:rPr>
            </w:pPr>
            <w:r>
              <w:rPr>
                <w:color w:val="000000"/>
                <w:sz w:val="18"/>
                <w:szCs w:val="18"/>
                <w:lang w:eastAsia="pt-BR"/>
              </w:rPr>
              <w:t>-0,21</w:t>
            </w:r>
          </w:p>
        </w:tc>
        <w:tc>
          <w:tcPr>
            <w:tcW w:w="1436" w:type="dxa"/>
            <w:noWrap/>
            <w:vAlign w:val="bottom"/>
            <w:hideMark/>
          </w:tcPr>
          <w:p w14:paraId="434BF6D5" w14:textId="77777777" w:rsidR="007B31A0" w:rsidRDefault="007B31A0">
            <w:pPr>
              <w:jc w:val="right"/>
              <w:rPr>
                <w:color w:val="000000"/>
                <w:sz w:val="18"/>
                <w:szCs w:val="18"/>
                <w:lang w:eastAsia="pt-BR"/>
              </w:rPr>
            </w:pPr>
            <w:r>
              <w:rPr>
                <w:color w:val="000000"/>
                <w:sz w:val="18"/>
                <w:szCs w:val="18"/>
                <w:lang w:eastAsia="pt-BR"/>
              </w:rPr>
              <w:t>0,10</w:t>
            </w:r>
          </w:p>
        </w:tc>
        <w:tc>
          <w:tcPr>
            <w:tcW w:w="1159" w:type="dxa"/>
            <w:shd w:val="clear" w:color="auto" w:fill="FDE9D9" w:themeFill="accent6" w:themeFillTint="33"/>
            <w:noWrap/>
            <w:vAlign w:val="bottom"/>
            <w:hideMark/>
          </w:tcPr>
          <w:p w14:paraId="544913B5" w14:textId="77777777" w:rsidR="007B31A0" w:rsidRDefault="007B31A0">
            <w:pPr>
              <w:jc w:val="right"/>
              <w:rPr>
                <w:color w:val="000000"/>
                <w:sz w:val="18"/>
                <w:szCs w:val="18"/>
                <w:lang w:eastAsia="pt-BR"/>
              </w:rPr>
            </w:pPr>
            <w:r>
              <w:rPr>
                <w:color w:val="000000"/>
                <w:sz w:val="18"/>
                <w:szCs w:val="18"/>
                <w:lang w:eastAsia="pt-BR"/>
              </w:rPr>
              <w:t>-0,16</w:t>
            </w:r>
          </w:p>
        </w:tc>
        <w:tc>
          <w:tcPr>
            <w:tcW w:w="1643" w:type="dxa"/>
            <w:shd w:val="clear" w:color="auto" w:fill="FCE4D6"/>
            <w:noWrap/>
            <w:vAlign w:val="bottom"/>
            <w:hideMark/>
          </w:tcPr>
          <w:p w14:paraId="1285E7CA" w14:textId="77777777" w:rsidR="007B31A0" w:rsidRDefault="007B31A0">
            <w:pPr>
              <w:jc w:val="right"/>
              <w:rPr>
                <w:color w:val="000000"/>
                <w:sz w:val="18"/>
                <w:szCs w:val="18"/>
                <w:lang w:eastAsia="pt-BR"/>
              </w:rPr>
            </w:pPr>
            <w:r>
              <w:rPr>
                <w:color w:val="000000"/>
                <w:sz w:val="18"/>
                <w:szCs w:val="18"/>
                <w:lang w:eastAsia="pt-BR"/>
              </w:rPr>
              <w:t>0,23</w:t>
            </w:r>
          </w:p>
        </w:tc>
        <w:tc>
          <w:tcPr>
            <w:tcW w:w="1251" w:type="dxa"/>
            <w:noWrap/>
            <w:vAlign w:val="bottom"/>
            <w:hideMark/>
          </w:tcPr>
          <w:p w14:paraId="3619EC7A" w14:textId="77777777" w:rsidR="007B31A0" w:rsidRDefault="007B31A0">
            <w:pPr>
              <w:jc w:val="right"/>
              <w:rPr>
                <w:color w:val="000000"/>
                <w:sz w:val="18"/>
                <w:szCs w:val="18"/>
                <w:lang w:eastAsia="pt-BR"/>
              </w:rPr>
            </w:pPr>
            <w:r>
              <w:rPr>
                <w:color w:val="000000"/>
                <w:sz w:val="18"/>
                <w:szCs w:val="18"/>
                <w:lang w:eastAsia="pt-BR"/>
              </w:rPr>
              <w:t>0,01</w:t>
            </w:r>
          </w:p>
        </w:tc>
        <w:tc>
          <w:tcPr>
            <w:tcW w:w="691" w:type="dxa"/>
            <w:noWrap/>
            <w:vAlign w:val="bottom"/>
            <w:hideMark/>
          </w:tcPr>
          <w:p w14:paraId="1B91D1B9" w14:textId="77777777" w:rsidR="007B31A0" w:rsidRDefault="007B31A0">
            <w:pPr>
              <w:jc w:val="right"/>
              <w:rPr>
                <w:color w:val="000000"/>
                <w:sz w:val="18"/>
                <w:szCs w:val="18"/>
                <w:lang w:eastAsia="pt-BR"/>
              </w:rPr>
            </w:pPr>
            <w:r>
              <w:rPr>
                <w:color w:val="000000"/>
                <w:sz w:val="18"/>
                <w:szCs w:val="18"/>
                <w:lang w:eastAsia="pt-BR"/>
              </w:rPr>
              <w:t>-0,02</w:t>
            </w:r>
          </w:p>
        </w:tc>
      </w:tr>
      <w:tr w:rsidR="007B31A0" w14:paraId="70B0EDD5" w14:textId="77777777" w:rsidTr="007B31A0">
        <w:trPr>
          <w:trHeight w:val="296"/>
          <w:jc w:val="center"/>
        </w:trPr>
        <w:tc>
          <w:tcPr>
            <w:tcW w:w="590" w:type="dxa"/>
            <w:noWrap/>
            <w:vAlign w:val="bottom"/>
            <w:hideMark/>
          </w:tcPr>
          <w:p w14:paraId="384E9637" w14:textId="77777777" w:rsidR="007B31A0" w:rsidRDefault="007B31A0">
            <w:pPr>
              <w:jc w:val="right"/>
              <w:rPr>
                <w:color w:val="000000"/>
                <w:sz w:val="18"/>
                <w:szCs w:val="18"/>
                <w:lang w:eastAsia="pt-BR"/>
              </w:rPr>
            </w:pPr>
            <w:r>
              <w:rPr>
                <w:color w:val="000000"/>
                <w:sz w:val="18"/>
                <w:szCs w:val="18"/>
                <w:lang w:eastAsia="pt-BR"/>
              </w:rPr>
              <w:t>2012</w:t>
            </w:r>
          </w:p>
        </w:tc>
        <w:tc>
          <w:tcPr>
            <w:tcW w:w="1021" w:type="dxa"/>
            <w:noWrap/>
            <w:vAlign w:val="bottom"/>
            <w:hideMark/>
          </w:tcPr>
          <w:p w14:paraId="39E598BE" w14:textId="77777777" w:rsidR="007B31A0" w:rsidRDefault="007B31A0">
            <w:pPr>
              <w:jc w:val="right"/>
              <w:rPr>
                <w:color w:val="000000"/>
                <w:sz w:val="18"/>
                <w:szCs w:val="18"/>
                <w:lang w:eastAsia="pt-BR"/>
              </w:rPr>
            </w:pPr>
            <w:r>
              <w:rPr>
                <w:color w:val="000000"/>
                <w:sz w:val="18"/>
                <w:szCs w:val="18"/>
                <w:lang w:eastAsia="pt-BR"/>
              </w:rPr>
              <w:t>0,01</w:t>
            </w:r>
          </w:p>
        </w:tc>
        <w:tc>
          <w:tcPr>
            <w:tcW w:w="1350" w:type="dxa"/>
            <w:shd w:val="clear" w:color="auto" w:fill="FCE4D6"/>
            <w:noWrap/>
            <w:vAlign w:val="bottom"/>
            <w:hideMark/>
          </w:tcPr>
          <w:p w14:paraId="382185EB" w14:textId="77777777" w:rsidR="007B31A0" w:rsidRDefault="007B31A0">
            <w:pPr>
              <w:jc w:val="right"/>
              <w:rPr>
                <w:color w:val="000000"/>
                <w:sz w:val="18"/>
                <w:szCs w:val="18"/>
                <w:lang w:eastAsia="pt-BR"/>
              </w:rPr>
            </w:pPr>
            <w:r>
              <w:rPr>
                <w:color w:val="000000"/>
                <w:sz w:val="18"/>
                <w:szCs w:val="18"/>
                <w:lang w:eastAsia="pt-BR"/>
              </w:rPr>
              <w:t>-0,21</w:t>
            </w:r>
          </w:p>
        </w:tc>
        <w:tc>
          <w:tcPr>
            <w:tcW w:w="1436" w:type="dxa"/>
            <w:noWrap/>
            <w:vAlign w:val="bottom"/>
            <w:hideMark/>
          </w:tcPr>
          <w:p w14:paraId="791B5A7D" w14:textId="77777777" w:rsidR="007B31A0" w:rsidRDefault="007B31A0">
            <w:pPr>
              <w:jc w:val="right"/>
              <w:rPr>
                <w:color w:val="000000"/>
                <w:sz w:val="18"/>
                <w:szCs w:val="18"/>
                <w:lang w:eastAsia="pt-BR"/>
              </w:rPr>
            </w:pPr>
            <w:r>
              <w:rPr>
                <w:color w:val="000000"/>
                <w:sz w:val="18"/>
                <w:szCs w:val="18"/>
                <w:lang w:eastAsia="pt-BR"/>
              </w:rPr>
              <w:t>0,10</w:t>
            </w:r>
          </w:p>
        </w:tc>
        <w:tc>
          <w:tcPr>
            <w:tcW w:w="1159" w:type="dxa"/>
            <w:shd w:val="clear" w:color="auto" w:fill="FDE9D9" w:themeFill="accent6" w:themeFillTint="33"/>
            <w:noWrap/>
            <w:vAlign w:val="bottom"/>
            <w:hideMark/>
          </w:tcPr>
          <w:p w14:paraId="296B709C" w14:textId="77777777" w:rsidR="007B31A0" w:rsidRDefault="007B31A0">
            <w:pPr>
              <w:jc w:val="right"/>
              <w:rPr>
                <w:color w:val="000000"/>
                <w:sz w:val="18"/>
                <w:szCs w:val="18"/>
                <w:lang w:eastAsia="pt-BR"/>
              </w:rPr>
            </w:pPr>
            <w:r>
              <w:rPr>
                <w:color w:val="000000"/>
                <w:sz w:val="18"/>
                <w:szCs w:val="18"/>
                <w:lang w:eastAsia="pt-BR"/>
              </w:rPr>
              <w:t>-0,15</w:t>
            </w:r>
          </w:p>
        </w:tc>
        <w:tc>
          <w:tcPr>
            <w:tcW w:w="1643" w:type="dxa"/>
            <w:shd w:val="clear" w:color="auto" w:fill="FCE4D6"/>
            <w:noWrap/>
            <w:vAlign w:val="bottom"/>
            <w:hideMark/>
          </w:tcPr>
          <w:p w14:paraId="19CBEC9D" w14:textId="77777777" w:rsidR="007B31A0" w:rsidRDefault="007B31A0">
            <w:pPr>
              <w:jc w:val="right"/>
              <w:rPr>
                <w:color w:val="000000"/>
                <w:sz w:val="18"/>
                <w:szCs w:val="18"/>
                <w:lang w:eastAsia="pt-BR"/>
              </w:rPr>
            </w:pPr>
            <w:r>
              <w:rPr>
                <w:color w:val="000000"/>
                <w:sz w:val="18"/>
                <w:szCs w:val="18"/>
                <w:lang w:eastAsia="pt-BR"/>
              </w:rPr>
              <w:t>0,23</w:t>
            </w:r>
          </w:p>
        </w:tc>
        <w:tc>
          <w:tcPr>
            <w:tcW w:w="1251" w:type="dxa"/>
            <w:noWrap/>
            <w:vAlign w:val="bottom"/>
            <w:hideMark/>
          </w:tcPr>
          <w:p w14:paraId="3F40F1A4" w14:textId="77777777" w:rsidR="007B31A0" w:rsidRDefault="007B31A0">
            <w:pPr>
              <w:jc w:val="right"/>
              <w:rPr>
                <w:color w:val="000000"/>
                <w:sz w:val="18"/>
                <w:szCs w:val="18"/>
                <w:lang w:eastAsia="pt-BR"/>
              </w:rPr>
            </w:pPr>
            <w:r>
              <w:rPr>
                <w:color w:val="000000"/>
                <w:sz w:val="18"/>
                <w:szCs w:val="18"/>
                <w:lang w:eastAsia="pt-BR"/>
              </w:rPr>
              <w:t>0,01</w:t>
            </w:r>
          </w:p>
        </w:tc>
        <w:tc>
          <w:tcPr>
            <w:tcW w:w="691" w:type="dxa"/>
            <w:noWrap/>
            <w:vAlign w:val="bottom"/>
            <w:hideMark/>
          </w:tcPr>
          <w:p w14:paraId="3982F9AB" w14:textId="77777777" w:rsidR="007B31A0" w:rsidRDefault="007B31A0">
            <w:pPr>
              <w:jc w:val="right"/>
              <w:rPr>
                <w:color w:val="000000"/>
                <w:sz w:val="18"/>
                <w:szCs w:val="18"/>
                <w:lang w:eastAsia="pt-BR"/>
              </w:rPr>
            </w:pPr>
            <w:r>
              <w:rPr>
                <w:color w:val="000000"/>
                <w:sz w:val="18"/>
                <w:szCs w:val="18"/>
                <w:lang w:eastAsia="pt-BR"/>
              </w:rPr>
              <w:t>-0,01</w:t>
            </w:r>
          </w:p>
        </w:tc>
      </w:tr>
      <w:tr w:rsidR="007B31A0" w14:paraId="36AB8467" w14:textId="77777777" w:rsidTr="007B31A0">
        <w:trPr>
          <w:trHeight w:val="296"/>
          <w:jc w:val="center"/>
        </w:trPr>
        <w:tc>
          <w:tcPr>
            <w:tcW w:w="590" w:type="dxa"/>
            <w:noWrap/>
            <w:vAlign w:val="bottom"/>
            <w:hideMark/>
          </w:tcPr>
          <w:p w14:paraId="4EA106FA" w14:textId="77777777" w:rsidR="007B31A0" w:rsidRDefault="007B31A0">
            <w:pPr>
              <w:jc w:val="right"/>
              <w:rPr>
                <w:color w:val="000000"/>
                <w:sz w:val="18"/>
                <w:szCs w:val="18"/>
                <w:lang w:eastAsia="pt-BR"/>
              </w:rPr>
            </w:pPr>
            <w:r>
              <w:rPr>
                <w:color w:val="000000"/>
                <w:sz w:val="18"/>
                <w:szCs w:val="18"/>
                <w:lang w:eastAsia="pt-BR"/>
              </w:rPr>
              <w:t>2014</w:t>
            </w:r>
          </w:p>
        </w:tc>
        <w:tc>
          <w:tcPr>
            <w:tcW w:w="1021" w:type="dxa"/>
            <w:noWrap/>
            <w:vAlign w:val="bottom"/>
            <w:hideMark/>
          </w:tcPr>
          <w:p w14:paraId="129595BE" w14:textId="77777777" w:rsidR="007B31A0" w:rsidRDefault="007B31A0">
            <w:pPr>
              <w:jc w:val="right"/>
              <w:rPr>
                <w:color w:val="000000"/>
                <w:sz w:val="18"/>
                <w:szCs w:val="18"/>
                <w:lang w:eastAsia="pt-BR"/>
              </w:rPr>
            </w:pPr>
            <w:r>
              <w:rPr>
                <w:color w:val="000000"/>
                <w:sz w:val="18"/>
                <w:szCs w:val="18"/>
                <w:lang w:eastAsia="pt-BR"/>
              </w:rPr>
              <w:t>0,01</w:t>
            </w:r>
          </w:p>
        </w:tc>
        <w:tc>
          <w:tcPr>
            <w:tcW w:w="1350" w:type="dxa"/>
            <w:shd w:val="clear" w:color="auto" w:fill="FCE4D6"/>
            <w:noWrap/>
            <w:vAlign w:val="bottom"/>
            <w:hideMark/>
          </w:tcPr>
          <w:p w14:paraId="0F9E433D" w14:textId="77777777" w:rsidR="007B31A0" w:rsidRDefault="007B31A0">
            <w:pPr>
              <w:jc w:val="right"/>
              <w:rPr>
                <w:color w:val="000000"/>
                <w:sz w:val="18"/>
                <w:szCs w:val="18"/>
                <w:lang w:eastAsia="pt-BR"/>
              </w:rPr>
            </w:pPr>
            <w:r>
              <w:rPr>
                <w:color w:val="000000"/>
                <w:sz w:val="18"/>
                <w:szCs w:val="18"/>
                <w:lang w:eastAsia="pt-BR"/>
              </w:rPr>
              <w:t>-0,20</w:t>
            </w:r>
          </w:p>
        </w:tc>
        <w:tc>
          <w:tcPr>
            <w:tcW w:w="1436" w:type="dxa"/>
            <w:noWrap/>
            <w:vAlign w:val="bottom"/>
            <w:hideMark/>
          </w:tcPr>
          <w:p w14:paraId="45862AE4" w14:textId="77777777" w:rsidR="007B31A0" w:rsidRDefault="007B31A0">
            <w:pPr>
              <w:jc w:val="right"/>
              <w:rPr>
                <w:color w:val="000000"/>
                <w:sz w:val="18"/>
                <w:szCs w:val="18"/>
                <w:lang w:eastAsia="pt-BR"/>
              </w:rPr>
            </w:pPr>
            <w:r>
              <w:rPr>
                <w:color w:val="000000"/>
                <w:sz w:val="18"/>
                <w:szCs w:val="18"/>
                <w:lang w:eastAsia="pt-BR"/>
              </w:rPr>
              <w:t>0,09</w:t>
            </w:r>
          </w:p>
        </w:tc>
        <w:tc>
          <w:tcPr>
            <w:tcW w:w="1159" w:type="dxa"/>
            <w:shd w:val="clear" w:color="auto" w:fill="FDE9D9" w:themeFill="accent6" w:themeFillTint="33"/>
            <w:noWrap/>
            <w:vAlign w:val="bottom"/>
            <w:hideMark/>
          </w:tcPr>
          <w:p w14:paraId="47283B5A" w14:textId="77777777" w:rsidR="007B31A0" w:rsidRDefault="007B31A0">
            <w:pPr>
              <w:jc w:val="right"/>
              <w:rPr>
                <w:color w:val="000000"/>
                <w:sz w:val="18"/>
                <w:szCs w:val="18"/>
                <w:lang w:eastAsia="pt-BR"/>
              </w:rPr>
            </w:pPr>
            <w:r>
              <w:rPr>
                <w:color w:val="000000"/>
                <w:sz w:val="18"/>
                <w:szCs w:val="18"/>
                <w:lang w:eastAsia="pt-BR"/>
              </w:rPr>
              <w:t>-0,15</w:t>
            </w:r>
          </w:p>
        </w:tc>
        <w:tc>
          <w:tcPr>
            <w:tcW w:w="1643" w:type="dxa"/>
            <w:shd w:val="clear" w:color="auto" w:fill="FCE4D6"/>
            <w:noWrap/>
            <w:vAlign w:val="bottom"/>
            <w:hideMark/>
          </w:tcPr>
          <w:p w14:paraId="6D79D352" w14:textId="77777777" w:rsidR="007B31A0" w:rsidRDefault="007B31A0">
            <w:pPr>
              <w:jc w:val="right"/>
              <w:rPr>
                <w:color w:val="000000"/>
                <w:sz w:val="18"/>
                <w:szCs w:val="18"/>
                <w:lang w:eastAsia="pt-BR"/>
              </w:rPr>
            </w:pPr>
            <w:r>
              <w:rPr>
                <w:color w:val="000000"/>
                <w:sz w:val="18"/>
                <w:szCs w:val="18"/>
                <w:lang w:eastAsia="pt-BR"/>
              </w:rPr>
              <w:t>0,20</w:t>
            </w:r>
          </w:p>
        </w:tc>
        <w:tc>
          <w:tcPr>
            <w:tcW w:w="1251" w:type="dxa"/>
            <w:noWrap/>
            <w:vAlign w:val="bottom"/>
            <w:hideMark/>
          </w:tcPr>
          <w:p w14:paraId="75ACD2A4" w14:textId="77777777" w:rsidR="007B31A0" w:rsidRDefault="007B31A0">
            <w:pPr>
              <w:jc w:val="right"/>
              <w:rPr>
                <w:color w:val="000000"/>
                <w:sz w:val="18"/>
                <w:szCs w:val="18"/>
                <w:lang w:eastAsia="pt-BR"/>
              </w:rPr>
            </w:pPr>
            <w:r>
              <w:rPr>
                <w:color w:val="000000"/>
                <w:sz w:val="18"/>
                <w:szCs w:val="18"/>
                <w:lang w:eastAsia="pt-BR"/>
              </w:rPr>
              <w:t>0,01</w:t>
            </w:r>
          </w:p>
        </w:tc>
        <w:tc>
          <w:tcPr>
            <w:tcW w:w="691" w:type="dxa"/>
            <w:noWrap/>
            <w:vAlign w:val="bottom"/>
            <w:hideMark/>
          </w:tcPr>
          <w:p w14:paraId="0219E67A" w14:textId="77777777" w:rsidR="007B31A0" w:rsidRDefault="007B31A0">
            <w:pPr>
              <w:jc w:val="right"/>
              <w:rPr>
                <w:b/>
                <w:color w:val="000000"/>
                <w:sz w:val="18"/>
                <w:szCs w:val="18"/>
                <w:lang w:eastAsia="pt-BR"/>
              </w:rPr>
            </w:pPr>
            <w:r>
              <w:rPr>
                <w:b/>
                <w:color w:val="000000"/>
                <w:sz w:val="18"/>
                <w:szCs w:val="18"/>
                <w:lang w:eastAsia="pt-BR"/>
              </w:rPr>
              <w:t>-0,03</w:t>
            </w:r>
          </w:p>
        </w:tc>
      </w:tr>
      <w:tr w:rsidR="007B31A0" w14:paraId="58709A72" w14:textId="77777777" w:rsidTr="007B31A0">
        <w:trPr>
          <w:trHeight w:val="296"/>
          <w:jc w:val="center"/>
        </w:trPr>
        <w:tc>
          <w:tcPr>
            <w:tcW w:w="590" w:type="dxa"/>
            <w:noWrap/>
            <w:vAlign w:val="bottom"/>
            <w:hideMark/>
          </w:tcPr>
          <w:p w14:paraId="6D033218" w14:textId="77777777" w:rsidR="007B31A0" w:rsidRDefault="007B31A0">
            <w:pPr>
              <w:jc w:val="right"/>
              <w:rPr>
                <w:color w:val="000000"/>
                <w:sz w:val="18"/>
                <w:szCs w:val="18"/>
                <w:lang w:eastAsia="pt-BR"/>
              </w:rPr>
            </w:pPr>
            <w:r>
              <w:rPr>
                <w:color w:val="000000"/>
                <w:sz w:val="18"/>
                <w:szCs w:val="18"/>
                <w:lang w:eastAsia="pt-BR"/>
              </w:rPr>
              <w:t>2016</w:t>
            </w:r>
          </w:p>
        </w:tc>
        <w:tc>
          <w:tcPr>
            <w:tcW w:w="1021" w:type="dxa"/>
            <w:noWrap/>
            <w:vAlign w:val="bottom"/>
            <w:hideMark/>
          </w:tcPr>
          <w:p w14:paraId="2EA5A8EC" w14:textId="77777777" w:rsidR="007B31A0" w:rsidRDefault="007B31A0">
            <w:pPr>
              <w:jc w:val="right"/>
              <w:rPr>
                <w:color w:val="000000"/>
                <w:sz w:val="18"/>
                <w:szCs w:val="18"/>
                <w:lang w:eastAsia="pt-BR"/>
              </w:rPr>
            </w:pPr>
            <w:r>
              <w:rPr>
                <w:color w:val="000000"/>
                <w:sz w:val="18"/>
                <w:szCs w:val="18"/>
                <w:lang w:eastAsia="pt-BR"/>
              </w:rPr>
              <w:t>0,01</w:t>
            </w:r>
          </w:p>
        </w:tc>
        <w:tc>
          <w:tcPr>
            <w:tcW w:w="1350" w:type="dxa"/>
            <w:shd w:val="clear" w:color="auto" w:fill="FCE4D6"/>
            <w:noWrap/>
            <w:vAlign w:val="bottom"/>
            <w:hideMark/>
          </w:tcPr>
          <w:p w14:paraId="244E3649" w14:textId="77777777" w:rsidR="007B31A0" w:rsidRDefault="007B31A0">
            <w:pPr>
              <w:jc w:val="right"/>
              <w:rPr>
                <w:color w:val="000000"/>
                <w:sz w:val="18"/>
                <w:szCs w:val="18"/>
                <w:lang w:eastAsia="pt-BR"/>
              </w:rPr>
            </w:pPr>
            <w:r>
              <w:rPr>
                <w:color w:val="000000"/>
                <w:sz w:val="18"/>
                <w:szCs w:val="18"/>
                <w:lang w:eastAsia="pt-BR"/>
              </w:rPr>
              <w:t>-0,21</w:t>
            </w:r>
          </w:p>
        </w:tc>
        <w:tc>
          <w:tcPr>
            <w:tcW w:w="1436" w:type="dxa"/>
            <w:noWrap/>
            <w:vAlign w:val="bottom"/>
            <w:hideMark/>
          </w:tcPr>
          <w:p w14:paraId="67854C1C" w14:textId="77777777" w:rsidR="007B31A0" w:rsidRDefault="007B31A0">
            <w:pPr>
              <w:jc w:val="right"/>
              <w:rPr>
                <w:color w:val="000000"/>
                <w:sz w:val="18"/>
                <w:szCs w:val="18"/>
                <w:lang w:eastAsia="pt-BR"/>
              </w:rPr>
            </w:pPr>
            <w:r>
              <w:rPr>
                <w:color w:val="000000"/>
                <w:sz w:val="18"/>
                <w:szCs w:val="18"/>
                <w:lang w:eastAsia="pt-BR"/>
              </w:rPr>
              <w:t>0,10</w:t>
            </w:r>
          </w:p>
        </w:tc>
        <w:tc>
          <w:tcPr>
            <w:tcW w:w="1159" w:type="dxa"/>
            <w:shd w:val="clear" w:color="auto" w:fill="FDE9D9" w:themeFill="accent6" w:themeFillTint="33"/>
            <w:noWrap/>
            <w:vAlign w:val="bottom"/>
            <w:hideMark/>
          </w:tcPr>
          <w:p w14:paraId="7FC5B3D9" w14:textId="77777777" w:rsidR="007B31A0" w:rsidRDefault="007B31A0">
            <w:pPr>
              <w:jc w:val="right"/>
              <w:rPr>
                <w:color w:val="000000"/>
                <w:sz w:val="18"/>
                <w:szCs w:val="18"/>
                <w:lang w:eastAsia="pt-BR"/>
              </w:rPr>
            </w:pPr>
            <w:r>
              <w:rPr>
                <w:color w:val="000000"/>
                <w:sz w:val="18"/>
                <w:szCs w:val="18"/>
                <w:lang w:eastAsia="pt-BR"/>
              </w:rPr>
              <w:t>-0,15</w:t>
            </w:r>
          </w:p>
        </w:tc>
        <w:tc>
          <w:tcPr>
            <w:tcW w:w="1643" w:type="dxa"/>
            <w:shd w:val="clear" w:color="auto" w:fill="FCE4D6"/>
            <w:noWrap/>
            <w:vAlign w:val="bottom"/>
            <w:hideMark/>
          </w:tcPr>
          <w:p w14:paraId="5E917854" w14:textId="77777777" w:rsidR="007B31A0" w:rsidRDefault="007B31A0">
            <w:pPr>
              <w:jc w:val="right"/>
              <w:rPr>
                <w:color w:val="000000"/>
                <w:sz w:val="18"/>
                <w:szCs w:val="18"/>
                <w:lang w:eastAsia="pt-BR"/>
              </w:rPr>
            </w:pPr>
            <w:r>
              <w:rPr>
                <w:color w:val="000000"/>
                <w:sz w:val="18"/>
                <w:szCs w:val="18"/>
                <w:lang w:eastAsia="pt-BR"/>
              </w:rPr>
              <w:t>0,22</w:t>
            </w:r>
          </w:p>
        </w:tc>
        <w:tc>
          <w:tcPr>
            <w:tcW w:w="1251" w:type="dxa"/>
            <w:noWrap/>
            <w:vAlign w:val="bottom"/>
            <w:hideMark/>
          </w:tcPr>
          <w:p w14:paraId="0DC208F5" w14:textId="77777777" w:rsidR="007B31A0" w:rsidRDefault="007B31A0">
            <w:pPr>
              <w:jc w:val="right"/>
              <w:rPr>
                <w:color w:val="000000"/>
                <w:sz w:val="18"/>
                <w:szCs w:val="18"/>
                <w:lang w:eastAsia="pt-BR"/>
              </w:rPr>
            </w:pPr>
            <w:r>
              <w:rPr>
                <w:color w:val="000000"/>
                <w:sz w:val="18"/>
                <w:szCs w:val="18"/>
                <w:lang w:eastAsia="pt-BR"/>
              </w:rPr>
              <w:t>0,01</w:t>
            </w:r>
          </w:p>
        </w:tc>
        <w:tc>
          <w:tcPr>
            <w:tcW w:w="691" w:type="dxa"/>
            <w:noWrap/>
            <w:vAlign w:val="bottom"/>
            <w:hideMark/>
          </w:tcPr>
          <w:p w14:paraId="67DE5BB2" w14:textId="77777777" w:rsidR="007B31A0" w:rsidRDefault="007B31A0">
            <w:pPr>
              <w:jc w:val="right"/>
              <w:rPr>
                <w:b/>
                <w:color w:val="000000"/>
                <w:sz w:val="18"/>
                <w:szCs w:val="18"/>
                <w:lang w:eastAsia="pt-BR"/>
              </w:rPr>
            </w:pPr>
            <w:r>
              <w:rPr>
                <w:b/>
                <w:color w:val="000000"/>
                <w:sz w:val="18"/>
                <w:szCs w:val="18"/>
                <w:lang w:eastAsia="pt-BR"/>
              </w:rPr>
              <w:t>-0,03</w:t>
            </w:r>
          </w:p>
        </w:tc>
      </w:tr>
      <w:tr w:rsidR="007B31A0" w14:paraId="35E94411" w14:textId="77777777" w:rsidTr="007B31A0">
        <w:trPr>
          <w:trHeight w:val="296"/>
          <w:jc w:val="center"/>
        </w:trPr>
        <w:tc>
          <w:tcPr>
            <w:tcW w:w="590" w:type="dxa"/>
            <w:tcBorders>
              <w:bottom w:val="single" w:sz="4" w:space="0" w:color="auto"/>
            </w:tcBorders>
            <w:noWrap/>
            <w:vAlign w:val="bottom"/>
            <w:hideMark/>
          </w:tcPr>
          <w:p w14:paraId="72E1FEFF" w14:textId="77777777" w:rsidR="007B31A0" w:rsidRDefault="007B31A0">
            <w:pPr>
              <w:jc w:val="right"/>
              <w:rPr>
                <w:color w:val="000000"/>
                <w:sz w:val="18"/>
                <w:szCs w:val="18"/>
                <w:lang w:eastAsia="pt-BR"/>
              </w:rPr>
            </w:pPr>
            <w:r>
              <w:rPr>
                <w:color w:val="000000"/>
                <w:sz w:val="18"/>
                <w:szCs w:val="18"/>
                <w:lang w:eastAsia="pt-BR"/>
              </w:rPr>
              <w:t>2018</w:t>
            </w:r>
          </w:p>
        </w:tc>
        <w:tc>
          <w:tcPr>
            <w:tcW w:w="1021" w:type="dxa"/>
            <w:tcBorders>
              <w:bottom w:val="single" w:sz="4" w:space="0" w:color="auto"/>
            </w:tcBorders>
            <w:noWrap/>
            <w:vAlign w:val="bottom"/>
            <w:hideMark/>
          </w:tcPr>
          <w:p w14:paraId="630078F1" w14:textId="77777777" w:rsidR="007B31A0" w:rsidRDefault="007B31A0">
            <w:pPr>
              <w:jc w:val="right"/>
              <w:rPr>
                <w:color w:val="000000"/>
                <w:sz w:val="18"/>
                <w:szCs w:val="18"/>
                <w:lang w:eastAsia="pt-BR"/>
              </w:rPr>
            </w:pPr>
            <w:r>
              <w:rPr>
                <w:color w:val="000000"/>
                <w:sz w:val="18"/>
                <w:szCs w:val="18"/>
                <w:lang w:eastAsia="pt-BR"/>
              </w:rPr>
              <w:t>0,01</w:t>
            </w:r>
          </w:p>
        </w:tc>
        <w:tc>
          <w:tcPr>
            <w:tcW w:w="1350" w:type="dxa"/>
            <w:tcBorders>
              <w:bottom w:val="single" w:sz="4" w:space="0" w:color="auto"/>
            </w:tcBorders>
            <w:shd w:val="clear" w:color="auto" w:fill="FCE4D6"/>
            <w:noWrap/>
            <w:vAlign w:val="bottom"/>
            <w:hideMark/>
          </w:tcPr>
          <w:p w14:paraId="242C9C94" w14:textId="77777777" w:rsidR="007B31A0" w:rsidRDefault="007B31A0">
            <w:pPr>
              <w:jc w:val="right"/>
              <w:rPr>
                <w:color w:val="000000"/>
                <w:sz w:val="18"/>
                <w:szCs w:val="18"/>
                <w:lang w:eastAsia="pt-BR"/>
              </w:rPr>
            </w:pPr>
            <w:r>
              <w:rPr>
                <w:color w:val="000000"/>
                <w:sz w:val="18"/>
                <w:szCs w:val="18"/>
                <w:lang w:eastAsia="pt-BR"/>
              </w:rPr>
              <w:t>-0,20</w:t>
            </w:r>
          </w:p>
        </w:tc>
        <w:tc>
          <w:tcPr>
            <w:tcW w:w="1436" w:type="dxa"/>
            <w:tcBorders>
              <w:bottom w:val="single" w:sz="4" w:space="0" w:color="auto"/>
            </w:tcBorders>
            <w:noWrap/>
            <w:vAlign w:val="bottom"/>
            <w:hideMark/>
          </w:tcPr>
          <w:p w14:paraId="5E7FAA3D" w14:textId="77777777" w:rsidR="007B31A0" w:rsidRDefault="007B31A0">
            <w:pPr>
              <w:jc w:val="right"/>
              <w:rPr>
                <w:color w:val="000000"/>
                <w:sz w:val="18"/>
                <w:szCs w:val="18"/>
                <w:lang w:eastAsia="pt-BR"/>
              </w:rPr>
            </w:pPr>
            <w:r>
              <w:rPr>
                <w:color w:val="000000"/>
                <w:sz w:val="18"/>
                <w:szCs w:val="18"/>
                <w:lang w:eastAsia="pt-BR"/>
              </w:rPr>
              <w:t>0,10</w:t>
            </w:r>
          </w:p>
        </w:tc>
        <w:tc>
          <w:tcPr>
            <w:tcW w:w="1159" w:type="dxa"/>
            <w:tcBorders>
              <w:bottom w:val="single" w:sz="4" w:space="0" w:color="auto"/>
            </w:tcBorders>
            <w:shd w:val="clear" w:color="auto" w:fill="FDE9D9" w:themeFill="accent6" w:themeFillTint="33"/>
            <w:noWrap/>
            <w:vAlign w:val="bottom"/>
            <w:hideMark/>
          </w:tcPr>
          <w:p w14:paraId="62B2C325" w14:textId="77777777" w:rsidR="007B31A0" w:rsidRDefault="007B31A0">
            <w:pPr>
              <w:jc w:val="right"/>
              <w:rPr>
                <w:color w:val="000000"/>
                <w:sz w:val="18"/>
                <w:szCs w:val="18"/>
                <w:lang w:eastAsia="pt-BR"/>
              </w:rPr>
            </w:pPr>
            <w:r>
              <w:rPr>
                <w:color w:val="000000"/>
                <w:sz w:val="18"/>
                <w:szCs w:val="18"/>
                <w:lang w:eastAsia="pt-BR"/>
              </w:rPr>
              <w:t>-0,15</w:t>
            </w:r>
          </w:p>
        </w:tc>
        <w:tc>
          <w:tcPr>
            <w:tcW w:w="1643" w:type="dxa"/>
            <w:tcBorders>
              <w:bottom w:val="single" w:sz="4" w:space="0" w:color="auto"/>
            </w:tcBorders>
            <w:shd w:val="clear" w:color="auto" w:fill="FCE4D6"/>
            <w:noWrap/>
            <w:vAlign w:val="bottom"/>
            <w:hideMark/>
          </w:tcPr>
          <w:p w14:paraId="7EF54C3D" w14:textId="77777777" w:rsidR="007B31A0" w:rsidRDefault="007B31A0">
            <w:pPr>
              <w:jc w:val="right"/>
              <w:rPr>
                <w:color w:val="000000"/>
                <w:sz w:val="18"/>
                <w:szCs w:val="18"/>
                <w:lang w:eastAsia="pt-BR"/>
              </w:rPr>
            </w:pPr>
            <w:r>
              <w:rPr>
                <w:color w:val="000000"/>
                <w:sz w:val="18"/>
                <w:szCs w:val="18"/>
                <w:lang w:eastAsia="pt-BR"/>
              </w:rPr>
              <w:t>0,21</w:t>
            </w:r>
          </w:p>
        </w:tc>
        <w:tc>
          <w:tcPr>
            <w:tcW w:w="1251" w:type="dxa"/>
            <w:tcBorders>
              <w:bottom w:val="single" w:sz="4" w:space="0" w:color="auto"/>
            </w:tcBorders>
            <w:noWrap/>
            <w:vAlign w:val="bottom"/>
            <w:hideMark/>
          </w:tcPr>
          <w:p w14:paraId="237AAC49" w14:textId="77777777" w:rsidR="007B31A0" w:rsidRDefault="007B31A0">
            <w:pPr>
              <w:jc w:val="right"/>
              <w:rPr>
                <w:color w:val="000000"/>
                <w:sz w:val="18"/>
                <w:szCs w:val="18"/>
                <w:lang w:eastAsia="pt-BR"/>
              </w:rPr>
            </w:pPr>
            <w:r>
              <w:rPr>
                <w:color w:val="000000"/>
                <w:sz w:val="18"/>
                <w:szCs w:val="18"/>
                <w:lang w:eastAsia="pt-BR"/>
              </w:rPr>
              <w:t>0,01</w:t>
            </w:r>
          </w:p>
        </w:tc>
        <w:tc>
          <w:tcPr>
            <w:tcW w:w="691" w:type="dxa"/>
            <w:tcBorders>
              <w:bottom w:val="single" w:sz="4" w:space="0" w:color="auto"/>
            </w:tcBorders>
            <w:noWrap/>
            <w:vAlign w:val="bottom"/>
            <w:hideMark/>
          </w:tcPr>
          <w:p w14:paraId="34302431" w14:textId="77777777" w:rsidR="007B31A0" w:rsidRDefault="007B31A0">
            <w:pPr>
              <w:jc w:val="right"/>
              <w:rPr>
                <w:b/>
                <w:color w:val="000000"/>
                <w:sz w:val="18"/>
                <w:szCs w:val="18"/>
                <w:lang w:eastAsia="pt-BR"/>
              </w:rPr>
            </w:pPr>
            <w:r>
              <w:rPr>
                <w:b/>
                <w:color w:val="000000"/>
                <w:sz w:val="18"/>
                <w:szCs w:val="18"/>
                <w:lang w:eastAsia="pt-BR"/>
              </w:rPr>
              <w:t>-0,03</w:t>
            </w:r>
          </w:p>
        </w:tc>
      </w:tr>
    </w:tbl>
    <w:p w14:paraId="374903FB" w14:textId="18CA95BF" w:rsidR="00B12F42" w:rsidRDefault="00E9197F" w:rsidP="003F0C4A">
      <w:pPr>
        <w:spacing w:after="120" w:line="360" w:lineRule="auto"/>
        <w:jc w:val="center"/>
      </w:pPr>
      <w:r>
        <w:t>Fonte – os autores, 2018.</w:t>
      </w:r>
    </w:p>
    <w:p w14:paraId="2A01612E" w14:textId="77777777" w:rsidR="003F0C4A" w:rsidRPr="003F0C4A" w:rsidRDefault="003F0C4A" w:rsidP="003F0C4A">
      <w:pPr>
        <w:spacing w:after="120" w:line="360" w:lineRule="auto"/>
        <w:jc w:val="both"/>
      </w:pPr>
      <w:r w:rsidRPr="003F0C4A">
        <w:t xml:space="preserve">As diferenças no desempenho de cada indicador considerando os métodos do LPI e </w:t>
      </w:r>
      <w:proofErr w:type="spellStart"/>
      <w:proofErr w:type="gramStart"/>
      <w:r w:rsidRPr="003F0C4A">
        <w:t>LPIw</w:t>
      </w:r>
      <w:proofErr w:type="spellEnd"/>
      <w:proofErr w:type="gramEnd"/>
      <w:r w:rsidRPr="003F0C4A">
        <w:t xml:space="preserve"> também ocorreram no resultado final, em que o Brasil obteve índice 2,75 no LPI e 2,80 no </w:t>
      </w:r>
      <w:proofErr w:type="spellStart"/>
      <w:r w:rsidRPr="003F0C4A">
        <w:t>LPIw</w:t>
      </w:r>
      <w:proofErr w:type="spellEnd"/>
      <w:r w:rsidRPr="003F0C4A">
        <w:t xml:space="preserve">. Em 2007, o Brasil ocupou a 61ª posição no </w:t>
      </w:r>
      <w:r w:rsidRPr="003F0C4A">
        <w:rPr>
          <w:i/>
        </w:rPr>
        <w:t>ranking</w:t>
      </w:r>
      <w:r w:rsidRPr="003F0C4A">
        <w:t xml:space="preserve"> e a diferença entre o resultado LPI e </w:t>
      </w:r>
      <w:proofErr w:type="spellStart"/>
      <w:proofErr w:type="gramStart"/>
      <w:r w:rsidRPr="003F0C4A">
        <w:t>LPIw</w:t>
      </w:r>
      <w:proofErr w:type="spellEnd"/>
      <w:proofErr w:type="gramEnd"/>
      <w:r w:rsidRPr="003F0C4A">
        <w:t xml:space="preserve"> foi a maior no período, conforme quadro 2. Nesse sentido, os indicadores alfândega e pontualidade mantiveram diferenças não significativas de desempenho entre LPI e </w:t>
      </w:r>
      <w:proofErr w:type="spellStart"/>
      <w:proofErr w:type="gramStart"/>
      <w:r w:rsidRPr="003F0C4A">
        <w:t>LPIw</w:t>
      </w:r>
      <w:proofErr w:type="spellEnd"/>
      <w:proofErr w:type="gramEnd"/>
      <w:r w:rsidRPr="003F0C4A">
        <w:t xml:space="preserve"> no período. </w:t>
      </w:r>
    </w:p>
    <w:p w14:paraId="604EF516" w14:textId="46620A6D" w:rsidR="003F0C4A" w:rsidRPr="003F0C4A" w:rsidRDefault="003F0C4A" w:rsidP="003F0C4A">
      <w:pPr>
        <w:spacing w:after="120"/>
        <w:ind w:firstLine="142"/>
        <w:jc w:val="center"/>
      </w:pPr>
      <w:r>
        <w:t xml:space="preserve">Figura </w:t>
      </w:r>
      <w:fldSimple w:instr=" SEQ Figura \* ARABIC ">
        <w:r w:rsidR="00DA5D4D">
          <w:rPr>
            <w:noProof/>
          </w:rPr>
          <w:t>3</w:t>
        </w:r>
      </w:fldSimple>
      <w:r>
        <w:t xml:space="preserve">. </w:t>
      </w:r>
      <w:r w:rsidRPr="003F0C4A">
        <w:t xml:space="preserve">Gráfico radar de desempenho do Brasil no LPI em 2010 para cada indicador relacionado, considerando o método LPI e </w:t>
      </w:r>
      <w:proofErr w:type="spellStart"/>
      <w:proofErr w:type="gramStart"/>
      <w:r w:rsidRPr="003F0C4A">
        <w:t>LPIw</w:t>
      </w:r>
      <w:proofErr w:type="spellEnd"/>
      <w:proofErr w:type="gramEnd"/>
    </w:p>
    <w:p w14:paraId="58FE44FC" w14:textId="1A56B9BF" w:rsidR="007B31A0" w:rsidRDefault="003F0C4A" w:rsidP="00AB4A0B">
      <w:pPr>
        <w:spacing w:after="120" w:line="360" w:lineRule="auto"/>
        <w:jc w:val="both"/>
      </w:pPr>
      <w:r>
        <w:rPr>
          <w:noProof/>
          <w:lang w:eastAsia="pt-BR"/>
        </w:rPr>
        <w:drawing>
          <wp:inline distT="0" distB="0" distL="0" distR="0" wp14:anchorId="0C2083F8" wp14:editId="479D20BC">
            <wp:extent cx="5605153" cy="2505693"/>
            <wp:effectExtent l="0" t="0" r="1460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DA96146" w14:textId="3D26DB83" w:rsidR="007B31A0" w:rsidRDefault="003F0C4A" w:rsidP="003F0C4A">
      <w:pPr>
        <w:spacing w:after="120" w:line="360" w:lineRule="auto"/>
        <w:jc w:val="center"/>
      </w:pPr>
      <w:r>
        <w:t>Fonte – os autores, 2018.</w:t>
      </w:r>
    </w:p>
    <w:p w14:paraId="1000D3C4" w14:textId="77777777" w:rsidR="007A204D" w:rsidRPr="007A204D" w:rsidRDefault="007A204D" w:rsidP="007A204D">
      <w:pPr>
        <w:spacing w:after="120" w:line="360" w:lineRule="auto"/>
        <w:jc w:val="both"/>
      </w:pPr>
      <w:r w:rsidRPr="007A204D">
        <w:lastRenderedPageBreak/>
        <w:t>Em relação aos outros países, o Brasil teve melhor desempenho em qualidade dos serviços e infraestrutura, ocupando a 49ª posição. Nesse sentido, seu pior desempenho foi em remessas internacionais, com a 75ª posição do ranking.</w:t>
      </w:r>
    </w:p>
    <w:p w14:paraId="0AC8BDBB" w14:textId="77777777" w:rsidR="007A204D" w:rsidRPr="007A204D" w:rsidRDefault="007A204D" w:rsidP="007A204D">
      <w:pPr>
        <w:spacing w:after="120" w:line="360" w:lineRule="auto"/>
        <w:jc w:val="both"/>
      </w:pPr>
      <w:r w:rsidRPr="007A204D">
        <w:t xml:space="preserve">Em 2010, o melhor resultado LPI do país ocorreu nas dimensões pontualidade e rastreio e monitoramento. O indicador sobre rastreio e monitoramento passou do grupo de indicadores com pior desempenho para o de melhor desempenho entre 2007 e 2010. No entanto, nos resultados do </w:t>
      </w:r>
      <w:proofErr w:type="spellStart"/>
      <w:proofErr w:type="gramStart"/>
      <w:r w:rsidRPr="007A204D">
        <w:t>LPIw</w:t>
      </w:r>
      <w:proofErr w:type="spellEnd"/>
      <w:proofErr w:type="gramEnd"/>
      <w:r w:rsidRPr="007A204D">
        <w:t xml:space="preserve">, o indicador rastreio e monitoramento continua como pior desempenho. Esse valor pode ser explicado pelo baixo peso atribuído ao indicador no </w:t>
      </w:r>
      <w:proofErr w:type="spellStart"/>
      <w:proofErr w:type="gramStart"/>
      <w:r w:rsidRPr="007A204D">
        <w:t>LPIw</w:t>
      </w:r>
      <w:proofErr w:type="spellEnd"/>
      <w:proofErr w:type="gramEnd"/>
      <w:r w:rsidRPr="007A204D">
        <w:t xml:space="preserve">, conforme quadro 1.  </w:t>
      </w:r>
    </w:p>
    <w:p w14:paraId="522352E6" w14:textId="77777777" w:rsidR="007A204D" w:rsidRPr="007A204D" w:rsidRDefault="007A204D" w:rsidP="007A204D">
      <w:pPr>
        <w:spacing w:after="120" w:line="360" w:lineRule="auto"/>
        <w:jc w:val="both"/>
      </w:pPr>
      <w:r w:rsidRPr="007A204D">
        <w:t xml:space="preserve">Em relação aos outros países, o Brasil teve destaque no ranking de pontualidade em 2010, ocupando a 20ª posição. No entanto, o pior desempenho foi em alfândega, ocupando a 82ª posição. A pontuação LPI do Brasil em 2010 foi a melhor no período de análise desse estudo. </w:t>
      </w:r>
    </w:p>
    <w:p w14:paraId="1F58F595" w14:textId="29D28892" w:rsidR="007A204D" w:rsidRDefault="007A204D" w:rsidP="007A204D">
      <w:pPr>
        <w:spacing w:after="120" w:line="360" w:lineRule="auto"/>
        <w:jc w:val="both"/>
      </w:pPr>
      <w:r w:rsidRPr="007A204D">
        <w:t xml:space="preserve">Alfândega e remessas internacionais apresentaram os piores desempenhos no LPI de 2010. Expedição internacional é um indicador que não é considerado prioridade nos países da América do Sul (MARTÍ; PUERTAS, 2017). No </w:t>
      </w:r>
      <w:proofErr w:type="spellStart"/>
      <w:proofErr w:type="gramStart"/>
      <w:r w:rsidRPr="007A204D">
        <w:t>LPIw</w:t>
      </w:r>
      <w:proofErr w:type="spellEnd"/>
      <w:proofErr w:type="gramEnd"/>
      <w:r w:rsidRPr="007A204D">
        <w:t xml:space="preserve"> o indicador remessas internacionais também se destacou entre os piores resultados, juntamente com alfândega e rastreio. </w:t>
      </w:r>
    </w:p>
    <w:p w14:paraId="6D16D09F" w14:textId="77777777" w:rsidR="007A204D" w:rsidRDefault="007A204D" w:rsidP="007A204D">
      <w:pPr>
        <w:spacing w:after="120" w:line="360" w:lineRule="auto"/>
        <w:jc w:val="both"/>
      </w:pPr>
    </w:p>
    <w:p w14:paraId="25EB22C8" w14:textId="05A976F0" w:rsidR="007A204D" w:rsidRDefault="007A204D" w:rsidP="007A204D">
      <w:pPr>
        <w:spacing w:after="120"/>
        <w:ind w:firstLine="142"/>
        <w:jc w:val="center"/>
      </w:pPr>
      <w:r>
        <w:t xml:space="preserve">Figura </w:t>
      </w:r>
      <w:fldSimple w:instr=" SEQ Figura \* ARABIC ">
        <w:r w:rsidR="00DA5D4D">
          <w:rPr>
            <w:noProof/>
          </w:rPr>
          <w:t>4</w:t>
        </w:r>
      </w:fldSimple>
      <w:r>
        <w:t>.</w:t>
      </w:r>
      <w:r w:rsidRPr="007A204D">
        <w:t xml:space="preserve"> Gráfico radar de desempenho do Brasil no LPI em 2012 para cada indicador relacionado, considerando o método LPI e o método </w:t>
      </w:r>
      <w:proofErr w:type="spellStart"/>
      <w:proofErr w:type="gramStart"/>
      <w:r w:rsidRPr="007A204D">
        <w:t>LPIw</w:t>
      </w:r>
      <w:proofErr w:type="spellEnd"/>
      <w:proofErr w:type="gramEnd"/>
    </w:p>
    <w:p w14:paraId="6E635AA1" w14:textId="318D775B" w:rsidR="007A204D" w:rsidRDefault="007A204D" w:rsidP="007A204D">
      <w:pPr>
        <w:spacing w:after="120" w:line="360" w:lineRule="auto"/>
        <w:jc w:val="both"/>
      </w:pPr>
      <w:r>
        <w:rPr>
          <w:noProof/>
          <w:lang w:eastAsia="pt-BR"/>
        </w:rPr>
        <w:drawing>
          <wp:inline distT="0" distB="0" distL="0" distR="0" wp14:anchorId="1B28A398" wp14:editId="4829BAB4">
            <wp:extent cx="5688280" cy="2303813"/>
            <wp:effectExtent l="0" t="0" r="27305" b="2032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9C7F95" w14:textId="53E6DFD4" w:rsidR="007A204D" w:rsidRPr="007A204D" w:rsidRDefault="007A204D" w:rsidP="007A204D">
      <w:pPr>
        <w:spacing w:after="120" w:line="360" w:lineRule="auto"/>
        <w:jc w:val="center"/>
      </w:pPr>
      <w:r>
        <w:t>Fonte – os autores, 2018.</w:t>
      </w:r>
    </w:p>
    <w:p w14:paraId="65AE5121" w14:textId="6B6B3D3F" w:rsidR="007A204D" w:rsidRPr="007A204D" w:rsidRDefault="007A204D" w:rsidP="007A204D">
      <w:pPr>
        <w:spacing w:after="120" w:line="360" w:lineRule="auto"/>
        <w:jc w:val="both"/>
      </w:pPr>
      <w:r w:rsidRPr="007A204D">
        <w:t xml:space="preserve">Em 2010, o indicador infraestrutura apresentou maior contribuição no </w:t>
      </w:r>
      <w:proofErr w:type="spellStart"/>
      <w:proofErr w:type="gramStart"/>
      <w:r w:rsidRPr="007A204D">
        <w:t>LPIw</w:t>
      </w:r>
      <w:proofErr w:type="spellEnd"/>
      <w:proofErr w:type="gramEnd"/>
      <w:r w:rsidRPr="007A204D">
        <w:t xml:space="preserve">, seguido pelo indicador qualidade de serviços, da mesma forma que em 2007. As maiores diferenças em desempenho no LPI e </w:t>
      </w:r>
      <w:proofErr w:type="spellStart"/>
      <w:proofErr w:type="gramStart"/>
      <w:r w:rsidRPr="007A204D">
        <w:t>LPIw</w:t>
      </w:r>
      <w:proofErr w:type="spellEnd"/>
      <w:proofErr w:type="gramEnd"/>
      <w:r w:rsidRPr="007A204D">
        <w:t xml:space="preserve"> se mantiveram nos indicadores de rastreio e monitoramento, </w:t>
      </w:r>
      <w:r w:rsidRPr="007A204D">
        <w:lastRenderedPageBreak/>
        <w:t xml:space="preserve">infraestrutura e qualidade dos serviços, respectivamente, conforme quadro 2. O resultado final não apresentou diferença significativa, sendo que pelo LPI o Brasil alcançou 3,21 pontos, e pelo </w:t>
      </w:r>
      <w:proofErr w:type="spellStart"/>
      <w:proofErr w:type="gramStart"/>
      <w:r w:rsidRPr="007A204D">
        <w:t>LPIw</w:t>
      </w:r>
      <w:proofErr w:type="spellEnd"/>
      <w:proofErr w:type="gramEnd"/>
      <w:r w:rsidRPr="007A204D">
        <w:t xml:space="preserve"> 3,23. </w:t>
      </w:r>
    </w:p>
    <w:p w14:paraId="739655AD" w14:textId="77777777" w:rsidR="007A204D" w:rsidRDefault="007A204D" w:rsidP="007A204D">
      <w:pPr>
        <w:spacing w:after="120" w:line="360" w:lineRule="auto"/>
        <w:jc w:val="both"/>
      </w:pPr>
      <w:r w:rsidRPr="007A204D">
        <w:t xml:space="preserve">Em 2012, conforme </w:t>
      </w:r>
      <w:proofErr w:type="gramStart"/>
      <w:r w:rsidRPr="007A204D">
        <w:t>figura</w:t>
      </w:r>
      <w:proofErr w:type="gramEnd"/>
      <w:r w:rsidRPr="007A204D">
        <w:t xml:space="preserve"> 3, o desempenho do Brasil nos indicadores alfândega e expedição internacional foram os piores entre os seis pilares de logística do LPI. No entanto, ambos indicadores tiveram melhoria na sua pontuação de 2010 para 2012. O desempenho do país com relação a 2010 no </w:t>
      </w:r>
      <w:proofErr w:type="spellStart"/>
      <w:proofErr w:type="gramStart"/>
      <w:r w:rsidRPr="007A204D">
        <w:t>LPIw</w:t>
      </w:r>
      <w:proofErr w:type="spellEnd"/>
      <w:proofErr w:type="gramEnd"/>
      <w:r w:rsidRPr="007A204D">
        <w:t xml:space="preserve"> também não alterou significativamente. Nesse ano, o Brasil alcançou pontuação de 3,13 pelo LPI, ocupando a 45ª posição no ranking. Em relação aos demais países, o melhor desempenho do país foi em pontualidade, ocupando a 33ª posição do ranking nesse indicador. O pior desempenho por indicador em relação aos demais países foi em alfândega, em que o Brasil ocupou a 78ª posição. </w:t>
      </w:r>
    </w:p>
    <w:p w14:paraId="3D5F0F8C" w14:textId="77777777" w:rsidR="007A204D" w:rsidRDefault="007A204D" w:rsidP="007A204D">
      <w:pPr>
        <w:spacing w:after="120" w:line="360" w:lineRule="auto"/>
        <w:jc w:val="both"/>
      </w:pPr>
    </w:p>
    <w:p w14:paraId="6B581879" w14:textId="5F4903AD" w:rsidR="007A204D" w:rsidRDefault="007A204D" w:rsidP="007A204D">
      <w:pPr>
        <w:spacing w:after="120"/>
        <w:ind w:firstLine="142"/>
        <w:jc w:val="center"/>
      </w:pPr>
      <w:r>
        <w:t xml:space="preserve">Figura </w:t>
      </w:r>
      <w:fldSimple w:instr=" SEQ Figura \* ARABIC ">
        <w:r w:rsidR="00DA5D4D">
          <w:rPr>
            <w:noProof/>
          </w:rPr>
          <w:t>5</w:t>
        </w:r>
      </w:fldSimple>
      <w:r>
        <w:t>.</w:t>
      </w:r>
      <w:r w:rsidRPr="007A204D">
        <w:t xml:space="preserve"> Gráfico radar de desempenho do Brasil no LPI em 2014 para cada indicador relacionado, considerando o método LPI e o método </w:t>
      </w:r>
      <w:proofErr w:type="spellStart"/>
      <w:proofErr w:type="gramStart"/>
      <w:r w:rsidRPr="007A204D">
        <w:t>LPIw</w:t>
      </w:r>
      <w:proofErr w:type="spellEnd"/>
      <w:proofErr w:type="gramEnd"/>
    </w:p>
    <w:p w14:paraId="0C198710" w14:textId="0C3A6DB4" w:rsidR="007A204D" w:rsidRDefault="007A204D" w:rsidP="007A204D">
      <w:pPr>
        <w:spacing w:after="120" w:line="360" w:lineRule="auto"/>
        <w:jc w:val="both"/>
      </w:pPr>
      <w:r>
        <w:rPr>
          <w:noProof/>
          <w:lang w:eastAsia="pt-BR"/>
        </w:rPr>
        <w:drawing>
          <wp:inline distT="0" distB="0" distL="0" distR="0" wp14:anchorId="388F3981" wp14:editId="70394D9B">
            <wp:extent cx="5612130" cy="2329815"/>
            <wp:effectExtent l="0" t="0" r="26670" b="1333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EB070B5" w14:textId="25EEC421" w:rsidR="007A204D" w:rsidRPr="007A204D" w:rsidRDefault="007A204D" w:rsidP="007A204D">
      <w:pPr>
        <w:spacing w:after="120" w:line="360" w:lineRule="auto"/>
        <w:jc w:val="center"/>
      </w:pPr>
      <w:r>
        <w:t>Fonte – os autores, 2018.</w:t>
      </w:r>
    </w:p>
    <w:p w14:paraId="17ABEF90" w14:textId="011BE361" w:rsidR="007A204D" w:rsidRPr="007A204D" w:rsidRDefault="007A204D" w:rsidP="007A204D">
      <w:pPr>
        <w:spacing w:after="120" w:line="360" w:lineRule="auto"/>
        <w:jc w:val="both"/>
      </w:pPr>
      <w:r w:rsidRPr="007A204D">
        <w:t xml:space="preserve">Em 2014, conforme </w:t>
      </w:r>
      <w:proofErr w:type="gramStart"/>
      <w:r w:rsidRPr="007A204D">
        <w:t>figura</w:t>
      </w:r>
      <w:proofErr w:type="gramEnd"/>
      <w:r w:rsidRPr="007A204D">
        <w:t xml:space="preserve"> 4, o melhor d</w:t>
      </w:r>
      <w:r>
        <w:t xml:space="preserve">esempenho do país no LPI corresponde aos </w:t>
      </w:r>
      <w:r w:rsidRPr="007A204D">
        <w:t xml:space="preserve">indicadores pontualidade e qualidade dos serviços logísticos, respectivamente. O indicador alfandega e remessas internacionais permaneceram como pior desempenho. Em relação aos outros países, o Brasil teve o melhor desempenho em qualidade dos serviços, com a 60ª posição do ranking. O seu pior desempenho é em alfândega, caindo para a 90ª posição no ranking entre os países. </w:t>
      </w:r>
    </w:p>
    <w:p w14:paraId="2747E49D" w14:textId="77777777" w:rsidR="007A204D" w:rsidRPr="007A204D" w:rsidRDefault="007A204D" w:rsidP="007A204D">
      <w:pPr>
        <w:spacing w:after="120" w:line="360" w:lineRule="auto"/>
        <w:jc w:val="both"/>
      </w:pPr>
      <w:r w:rsidRPr="007A204D">
        <w:t xml:space="preserve">No ranking geral, o Brasil ocupou a 65ª posição com 2,95 pontos no LPI. Em relação ao </w:t>
      </w:r>
      <w:proofErr w:type="spellStart"/>
      <w:proofErr w:type="gramStart"/>
      <w:r w:rsidRPr="007A204D">
        <w:t>LPIw</w:t>
      </w:r>
      <w:proofErr w:type="spellEnd"/>
      <w:proofErr w:type="gramEnd"/>
      <w:r w:rsidRPr="007A204D">
        <w:t xml:space="preserve">, o desempenho do Brasil ficou 0,03 pontos acima, e os indicadores com menor </w:t>
      </w:r>
      <w:r w:rsidRPr="007A204D">
        <w:lastRenderedPageBreak/>
        <w:t xml:space="preserve">desempenho nesse método foram expedição internacional e rastreio e monitoramento. Esses indicadores apresentam os menores pesos no </w:t>
      </w:r>
      <w:proofErr w:type="spellStart"/>
      <w:proofErr w:type="gramStart"/>
      <w:r w:rsidRPr="007A204D">
        <w:t>LPIw</w:t>
      </w:r>
      <w:proofErr w:type="spellEnd"/>
      <w:proofErr w:type="gramEnd"/>
      <w:r w:rsidRPr="007A204D">
        <w:t>.</w:t>
      </w:r>
    </w:p>
    <w:p w14:paraId="0C1A218C" w14:textId="77777777" w:rsidR="007A204D" w:rsidRDefault="007A204D" w:rsidP="007A204D">
      <w:pPr>
        <w:spacing w:after="120" w:line="360" w:lineRule="auto"/>
        <w:jc w:val="both"/>
      </w:pPr>
      <w:r w:rsidRPr="007A204D">
        <w:t xml:space="preserve">Em 2016, conforme </w:t>
      </w:r>
      <w:proofErr w:type="gramStart"/>
      <w:r w:rsidRPr="007A204D">
        <w:t>figura</w:t>
      </w:r>
      <w:proofErr w:type="gramEnd"/>
      <w:r w:rsidRPr="007A204D">
        <w:t xml:space="preserve"> 5, o Brasil recuperou sua pontuação no LPI, passando dos 2,95 para 3,09. Os indicadores pontualidade e rastreio e monitoramento obtiveram melhor pontuação, e os indicadores alfandega e remessas internacionais se mantiveram como pior pontuação no LPI. As pontuações do </w:t>
      </w:r>
      <w:proofErr w:type="spellStart"/>
      <w:proofErr w:type="gramStart"/>
      <w:r w:rsidRPr="007A204D">
        <w:t>LPIw</w:t>
      </w:r>
      <w:proofErr w:type="spellEnd"/>
      <w:proofErr w:type="gramEnd"/>
      <w:r w:rsidRPr="007A204D">
        <w:t xml:space="preserve"> em 2016 não sofreram alterações significativas em relação a 2014, sendo o indicador infraestrutura com melhor desempenho e rastreio e monitoramento pior. Essa diferença entre o LPI e o </w:t>
      </w:r>
      <w:proofErr w:type="spellStart"/>
      <w:proofErr w:type="gramStart"/>
      <w:r w:rsidRPr="007A204D">
        <w:t>LPIw</w:t>
      </w:r>
      <w:proofErr w:type="spellEnd"/>
      <w:proofErr w:type="gramEnd"/>
      <w:r w:rsidRPr="007A204D">
        <w:t xml:space="preserve"> em relação ao indicador rastreio e monitoramento pode ser explicada pelo baixo peso atribuído ao indicador no método de </w:t>
      </w:r>
      <w:proofErr w:type="spellStart"/>
      <w:r w:rsidRPr="007A204D">
        <w:t>Rezaei</w:t>
      </w:r>
      <w:proofErr w:type="spellEnd"/>
      <w:r w:rsidRPr="007A204D">
        <w:t xml:space="preserve"> </w:t>
      </w:r>
      <w:r w:rsidRPr="007A204D">
        <w:rPr>
          <w:i/>
        </w:rPr>
        <w:t>et al</w:t>
      </w:r>
      <w:r w:rsidRPr="007A204D">
        <w:t xml:space="preserve">. (2018). </w:t>
      </w:r>
    </w:p>
    <w:p w14:paraId="0038C50C" w14:textId="77777777" w:rsidR="007A204D" w:rsidRPr="007A204D" w:rsidRDefault="007A204D" w:rsidP="007A204D">
      <w:pPr>
        <w:spacing w:after="120" w:line="360" w:lineRule="auto"/>
        <w:jc w:val="both"/>
      </w:pPr>
    </w:p>
    <w:p w14:paraId="4513475B" w14:textId="3277278C" w:rsidR="007A204D" w:rsidRDefault="007A204D" w:rsidP="007A204D">
      <w:pPr>
        <w:spacing w:after="120"/>
        <w:ind w:firstLine="142"/>
        <w:jc w:val="center"/>
      </w:pPr>
      <w:r>
        <w:t xml:space="preserve">Figura </w:t>
      </w:r>
      <w:fldSimple w:instr=" SEQ Figura \* ARABIC ">
        <w:r w:rsidR="00DA5D4D">
          <w:rPr>
            <w:noProof/>
          </w:rPr>
          <w:t>6</w:t>
        </w:r>
      </w:fldSimple>
      <w:r>
        <w:t xml:space="preserve">. </w:t>
      </w:r>
      <w:r w:rsidRPr="007A204D">
        <w:t xml:space="preserve">Gráfico radar de desempenho do Brasil no LPI em 2016 para cada indicador relacionado, considerando o método LPI e o método </w:t>
      </w:r>
      <w:proofErr w:type="spellStart"/>
      <w:proofErr w:type="gramStart"/>
      <w:r w:rsidRPr="007A204D">
        <w:t>LPIw</w:t>
      </w:r>
      <w:proofErr w:type="spellEnd"/>
      <w:proofErr w:type="gramEnd"/>
    </w:p>
    <w:p w14:paraId="7CB815BD" w14:textId="51DFF600" w:rsidR="003F0C4A" w:rsidRDefault="007A204D" w:rsidP="00AB4A0B">
      <w:pPr>
        <w:spacing w:after="120" w:line="360" w:lineRule="auto"/>
        <w:jc w:val="both"/>
      </w:pPr>
      <w:r>
        <w:rPr>
          <w:noProof/>
          <w:lang w:eastAsia="pt-BR"/>
        </w:rPr>
        <w:drawing>
          <wp:inline distT="0" distB="0" distL="0" distR="0" wp14:anchorId="17ED3080" wp14:editId="1CEC10FD">
            <wp:extent cx="5759532" cy="2386941"/>
            <wp:effectExtent l="0" t="0" r="12700" b="1397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DB66FA9" w14:textId="4852D53C" w:rsidR="007A204D" w:rsidRDefault="007A204D" w:rsidP="007A204D">
      <w:pPr>
        <w:spacing w:after="120" w:line="360" w:lineRule="auto"/>
        <w:jc w:val="center"/>
      </w:pPr>
      <w:r>
        <w:t>Fonte – os autores, 2018.</w:t>
      </w:r>
    </w:p>
    <w:p w14:paraId="0F4B935B" w14:textId="77777777" w:rsidR="007A204D" w:rsidRPr="007A204D" w:rsidRDefault="007A204D" w:rsidP="007A204D">
      <w:pPr>
        <w:spacing w:after="120" w:line="360" w:lineRule="auto"/>
        <w:jc w:val="both"/>
      </w:pPr>
      <w:r w:rsidRPr="007A204D">
        <w:t xml:space="preserve">Ainda, o país obteve melhor desempenho entre os países no indicador infraestrutura, ocupando a 47ª posição do ranking no LPI. No entanto, o pior desempenho foi no indicador expedição internacional, com a 72ª posição entre os países. </w:t>
      </w:r>
    </w:p>
    <w:p w14:paraId="6160CA0C" w14:textId="77777777" w:rsidR="007A204D" w:rsidRPr="007A204D" w:rsidRDefault="007A204D" w:rsidP="007A204D">
      <w:pPr>
        <w:spacing w:after="120" w:line="360" w:lineRule="auto"/>
        <w:jc w:val="both"/>
      </w:pPr>
      <w:r w:rsidRPr="007A204D">
        <w:t xml:space="preserve">Em 2018, conforme </w:t>
      </w:r>
      <w:proofErr w:type="gramStart"/>
      <w:r w:rsidRPr="007A204D">
        <w:t>figura</w:t>
      </w:r>
      <w:proofErr w:type="gramEnd"/>
      <w:r w:rsidRPr="007A204D">
        <w:t xml:space="preserve"> 6, o Brasil apresentou melhor pontuação no LPI em pontualidade e pior pontuação em alfândega. O desempenho no </w:t>
      </w:r>
      <w:proofErr w:type="spellStart"/>
      <w:proofErr w:type="gramStart"/>
      <w:r w:rsidRPr="007A204D">
        <w:t>LPIw</w:t>
      </w:r>
      <w:proofErr w:type="spellEnd"/>
      <w:proofErr w:type="gramEnd"/>
      <w:r w:rsidRPr="007A204D">
        <w:t xml:space="preserve"> permaneceu o mesmo de 2016 e pontuação geral por esse método ficou novamente 0,03 acima do LPI. A pontuação do indicador alfandega diminuiu entre 2016 e 2018, atingindo o pior valor entre 2010 e 2018. Essa pontuação foi igual em 2007, 2010 e 2018. </w:t>
      </w:r>
    </w:p>
    <w:p w14:paraId="59340CD8" w14:textId="77777777" w:rsidR="007A204D" w:rsidRDefault="007A204D" w:rsidP="007A204D">
      <w:pPr>
        <w:spacing w:after="120" w:line="360" w:lineRule="auto"/>
        <w:jc w:val="both"/>
      </w:pPr>
      <w:r w:rsidRPr="007A204D">
        <w:lastRenderedPageBreak/>
        <w:t>Em relação aos outros países, o indicador alfândega apresentou o pior desempenho no ranking no período analisado, sendo que o Brasil ocupou a 102ª posição. Ainda, o país teve melhor desempenho em qualidade dos serviços logísticos, ocupando a 46ª posição entre os países. No ranking global do LPI, o país ficou na 56ª posição.</w:t>
      </w:r>
    </w:p>
    <w:p w14:paraId="2D15CA92" w14:textId="77777777" w:rsidR="00DA5D4D" w:rsidRPr="007A204D" w:rsidRDefault="00DA5D4D" w:rsidP="007A204D">
      <w:pPr>
        <w:spacing w:after="120" w:line="360" w:lineRule="auto"/>
        <w:jc w:val="both"/>
      </w:pPr>
    </w:p>
    <w:p w14:paraId="65433305" w14:textId="35301B39" w:rsidR="00DA5D4D" w:rsidRPr="00DA5D4D" w:rsidRDefault="00DA5D4D" w:rsidP="00DA5D4D">
      <w:pPr>
        <w:spacing w:after="120"/>
        <w:ind w:firstLine="142"/>
        <w:jc w:val="center"/>
      </w:pPr>
      <w:r>
        <w:t xml:space="preserve">Figura </w:t>
      </w:r>
      <w:r>
        <w:fldChar w:fldCharType="begin"/>
      </w:r>
      <w:r>
        <w:instrText xml:space="preserve"> SEQ Figura \* ARABIC </w:instrText>
      </w:r>
      <w:r>
        <w:fldChar w:fldCharType="separate"/>
      </w:r>
      <w:proofErr w:type="gramStart"/>
      <w:r>
        <w:t>7</w:t>
      </w:r>
      <w:proofErr w:type="gramEnd"/>
      <w:r>
        <w:fldChar w:fldCharType="end"/>
      </w:r>
      <w:r>
        <w:t xml:space="preserve">. </w:t>
      </w:r>
      <w:r w:rsidRPr="00DA5D4D">
        <w:t xml:space="preserve">Gráfico radar de desempenho do Brasil no LPI em 2018 para cada indicador relacionado, considerando o método LPI e o método </w:t>
      </w:r>
      <w:proofErr w:type="spellStart"/>
      <w:proofErr w:type="gramStart"/>
      <w:r w:rsidRPr="00DA5D4D">
        <w:t>LPIw</w:t>
      </w:r>
      <w:proofErr w:type="spellEnd"/>
      <w:proofErr w:type="gramEnd"/>
    </w:p>
    <w:p w14:paraId="6AE68C5F" w14:textId="7F954EDF" w:rsidR="007A204D" w:rsidRDefault="007A204D" w:rsidP="00AB4A0B">
      <w:pPr>
        <w:spacing w:after="120" w:line="360" w:lineRule="auto"/>
        <w:jc w:val="both"/>
      </w:pPr>
      <w:r>
        <w:rPr>
          <w:noProof/>
          <w:lang w:eastAsia="pt-BR"/>
        </w:rPr>
        <w:drawing>
          <wp:inline distT="0" distB="0" distL="0" distR="0" wp14:anchorId="1DFFACB0" wp14:editId="75A704C0">
            <wp:extent cx="5771407" cy="2375065"/>
            <wp:effectExtent l="0" t="0" r="20320" b="2540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9A3FA85" w14:textId="6781DDB5" w:rsidR="007A204D" w:rsidRDefault="00DA5D4D" w:rsidP="00DA5D4D">
      <w:pPr>
        <w:tabs>
          <w:tab w:val="left" w:pos="2076"/>
        </w:tabs>
        <w:spacing w:after="120" w:line="360" w:lineRule="auto"/>
        <w:jc w:val="center"/>
      </w:pPr>
      <w:r>
        <w:t>Fonte – os autores, 2018.</w:t>
      </w:r>
    </w:p>
    <w:p w14:paraId="08BA81AE" w14:textId="77777777" w:rsidR="00DA5D4D" w:rsidRPr="00DA5D4D" w:rsidRDefault="00DA5D4D" w:rsidP="00DA5D4D">
      <w:pPr>
        <w:spacing w:after="120" w:line="360" w:lineRule="auto"/>
        <w:jc w:val="both"/>
      </w:pPr>
      <w:r w:rsidRPr="00DA5D4D">
        <w:t xml:space="preserve">Assim, em 2010 o país teve o seu melhor desempenho no ranking do LPI, e entre 2010 e 2012 esteve entre os 50 melhores países. No entanto, em 2014 teve seu pior desempenho e em 2016 e 2018 recuperou posições. No ranking para cada indicador, o país ocupou a melhor posição de ranking em 2010, pela dimensão pontualidade. Rastreabilidade e monitoramento, qualidade dos serviços logísticos e infraestrutura também foram dimensões de destaque. O indicador de pontualidade do Brasil fica muito próximo do desempenho dos países de alto nível de exportação (FARIA </w:t>
      </w:r>
      <w:proofErr w:type="gramStart"/>
      <w:r w:rsidRPr="00DA5D4D">
        <w:rPr>
          <w:i/>
        </w:rPr>
        <w:t>et</w:t>
      </w:r>
      <w:proofErr w:type="gramEnd"/>
      <w:r w:rsidRPr="00DA5D4D">
        <w:rPr>
          <w:i/>
        </w:rPr>
        <w:t xml:space="preserve"> al</w:t>
      </w:r>
      <w:r w:rsidRPr="00DA5D4D">
        <w:t xml:space="preserve">., 2015). No entanto, a pontualidade é considerada fator crítico para o país avançar para um nível de exportação alto (KABAK </w:t>
      </w:r>
      <w:proofErr w:type="gramStart"/>
      <w:r w:rsidRPr="00DA5D4D">
        <w:rPr>
          <w:i/>
        </w:rPr>
        <w:t>et</w:t>
      </w:r>
      <w:proofErr w:type="gramEnd"/>
      <w:r w:rsidRPr="00DA5D4D">
        <w:rPr>
          <w:i/>
        </w:rPr>
        <w:t xml:space="preserve"> al</w:t>
      </w:r>
      <w:r w:rsidRPr="00DA5D4D">
        <w:t xml:space="preserve">., 2017). </w:t>
      </w:r>
    </w:p>
    <w:p w14:paraId="760DB7EA" w14:textId="77777777" w:rsidR="00DA5D4D" w:rsidRPr="00DA5D4D" w:rsidRDefault="00DA5D4D" w:rsidP="00DA5D4D">
      <w:pPr>
        <w:spacing w:after="120" w:line="360" w:lineRule="auto"/>
        <w:jc w:val="both"/>
      </w:pPr>
      <w:r w:rsidRPr="00DA5D4D">
        <w:t xml:space="preserve">O desempenho da logística é altamente dependente de intervenções do governo, como em termos de infraestrutura, desenvolvimento de regime regulatório para serviços de transporte e procedimentos eficientes de desembaraço aduaneiro (EKICI </w:t>
      </w:r>
      <w:proofErr w:type="gramStart"/>
      <w:r w:rsidRPr="00DA5D4D">
        <w:rPr>
          <w:i/>
        </w:rPr>
        <w:t>et</w:t>
      </w:r>
      <w:proofErr w:type="gramEnd"/>
      <w:r w:rsidRPr="00DA5D4D">
        <w:rPr>
          <w:i/>
        </w:rPr>
        <w:t xml:space="preserve"> al</w:t>
      </w:r>
      <w:r w:rsidRPr="00DA5D4D">
        <w:t xml:space="preserve">., 2016). Em termos de infraestrutura, os países do LPI consideram como principal indicador, principalmente relacionado a tecnologias da informação e comunicação em países em desenvolvimento (ARVIS </w:t>
      </w:r>
      <w:proofErr w:type="gramStart"/>
      <w:r w:rsidRPr="00DA5D4D">
        <w:rPr>
          <w:i/>
        </w:rPr>
        <w:t>et</w:t>
      </w:r>
      <w:proofErr w:type="gramEnd"/>
      <w:r w:rsidRPr="00DA5D4D">
        <w:rPr>
          <w:i/>
        </w:rPr>
        <w:t xml:space="preserve"> al</w:t>
      </w:r>
      <w:r w:rsidRPr="00DA5D4D">
        <w:t xml:space="preserve">, 2010; 2012; 2014; 2016; EKICI </w:t>
      </w:r>
      <w:r w:rsidRPr="00DA5D4D">
        <w:rPr>
          <w:i/>
        </w:rPr>
        <w:t>et al</w:t>
      </w:r>
      <w:r w:rsidRPr="00DA5D4D">
        <w:t xml:space="preserve">., 2016; KABAK </w:t>
      </w:r>
      <w:r w:rsidRPr="00DA5D4D">
        <w:rPr>
          <w:i/>
        </w:rPr>
        <w:t>et al</w:t>
      </w:r>
      <w:r w:rsidRPr="00DA5D4D">
        <w:t xml:space="preserve">, 2018; REZAEI </w:t>
      </w:r>
      <w:r w:rsidRPr="00DA5D4D">
        <w:rPr>
          <w:i/>
        </w:rPr>
        <w:t>et al</w:t>
      </w:r>
      <w:r w:rsidRPr="00DA5D4D">
        <w:t>., 2018).</w:t>
      </w:r>
    </w:p>
    <w:p w14:paraId="075585B2" w14:textId="77777777" w:rsidR="00DA5D4D" w:rsidRPr="00DA5D4D" w:rsidRDefault="00DA5D4D" w:rsidP="00DA5D4D">
      <w:pPr>
        <w:spacing w:after="120" w:line="360" w:lineRule="auto"/>
        <w:jc w:val="both"/>
      </w:pPr>
      <w:r w:rsidRPr="00DA5D4D">
        <w:lastRenderedPageBreak/>
        <w:t xml:space="preserve">Rastreabilidade e monitoramento compõem uma dimensão relevante para os países na América do Sul, mas que não figura entre as prioridades de investimento (MARTÍ </w:t>
      </w:r>
      <w:proofErr w:type="gramStart"/>
      <w:r w:rsidRPr="00DA5D4D">
        <w:rPr>
          <w:i/>
        </w:rPr>
        <w:t>et</w:t>
      </w:r>
      <w:proofErr w:type="gramEnd"/>
      <w:r w:rsidRPr="00DA5D4D">
        <w:rPr>
          <w:i/>
        </w:rPr>
        <w:t xml:space="preserve"> al</w:t>
      </w:r>
      <w:r w:rsidRPr="00DA5D4D">
        <w:t xml:space="preserve">., 2014; MARTÍ; PUERTAS, 2017). Além disso, no modelo proposto por </w:t>
      </w:r>
      <w:proofErr w:type="spellStart"/>
      <w:r w:rsidRPr="00DA5D4D">
        <w:t>Rezaei</w:t>
      </w:r>
      <w:proofErr w:type="spellEnd"/>
      <w:r w:rsidRPr="00DA5D4D">
        <w:t xml:space="preserve"> </w:t>
      </w:r>
      <w:proofErr w:type="gramStart"/>
      <w:r w:rsidRPr="00DA5D4D">
        <w:rPr>
          <w:i/>
        </w:rPr>
        <w:t>et</w:t>
      </w:r>
      <w:proofErr w:type="gramEnd"/>
      <w:r w:rsidRPr="00DA5D4D">
        <w:rPr>
          <w:i/>
        </w:rPr>
        <w:t xml:space="preserve"> al</w:t>
      </w:r>
      <w:r w:rsidRPr="00DA5D4D">
        <w:t xml:space="preserve">. (2018), é a dimensão com menor peso para desempenho logístico. No entanto, o desempenho do país nessa dimensão foi considerado insatisfatório apenas em 2007, passando a estar entre as melhores pontuações até 2016. </w:t>
      </w:r>
    </w:p>
    <w:p w14:paraId="76F6B08A" w14:textId="77777777" w:rsidR="00DA5D4D" w:rsidRPr="00DA5D4D" w:rsidRDefault="00DA5D4D" w:rsidP="00DA5D4D">
      <w:pPr>
        <w:spacing w:after="120" w:line="360" w:lineRule="auto"/>
        <w:jc w:val="both"/>
      </w:pPr>
      <w:r w:rsidRPr="00DA5D4D">
        <w:t xml:space="preserve">A alfândega é uma dimensão crítica para o Brasil e demais países da América do Sul (MARTÍ; PUERTAS, 2017). Essa dimensão da logística de um país é essencial para o Brasil passar para ser de nível alto de exportação (KABAK </w:t>
      </w:r>
      <w:proofErr w:type="gramStart"/>
      <w:r w:rsidRPr="00DA5D4D">
        <w:rPr>
          <w:i/>
        </w:rPr>
        <w:t>et</w:t>
      </w:r>
      <w:proofErr w:type="gramEnd"/>
      <w:r w:rsidRPr="00DA5D4D">
        <w:rPr>
          <w:i/>
        </w:rPr>
        <w:t xml:space="preserve"> al</w:t>
      </w:r>
      <w:r w:rsidRPr="00DA5D4D">
        <w:t xml:space="preserve">., 2017). O pior desempenho do país em ranking individual foi em 2018, na dimensão alfândega. Essa dimensão esteve na pior posição do ranking entre os países em 2010, 2012, 2014 e 2018. A burocracia no Brasil é um fator que influencia negativamente o desempenho alfandegário (FARIA </w:t>
      </w:r>
      <w:proofErr w:type="gramStart"/>
      <w:r w:rsidRPr="00DA5D4D">
        <w:rPr>
          <w:i/>
        </w:rPr>
        <w:t>et</w:t>
      </w:r>
      <w:proofErr w:type="gramEnd"/>
      <w:r w:rsidRPr="00DA5D4D">
        <w:rPr>
          <w:i/>
        </w:rPr>
        <w:t xml:space="preserve"> al</w:t>
      </w:r>
      <w:r w:rsidRPr="00DA5D4D">
        <w:t>., 2015).</w:t>
      </w:r>
    </w:p>
    <w:p w14:paraId="70DF84C8" w14:textId="77777777" w:rsidR="00DA5D4D" w:rsidRPr="00DA5D4D" w:rsidRDefault="00DA5D4D" w:rsidP="00DA5D4D">
      <w:pPr>
        <w:spacing w:after="120" w:line="360" w:lineRule="auto"/>
        <w:jc w:val="both"/>
      </w:pPr>
      <w:r w:rsidRPr="00DA5D4D">
        <w:t xml:space="preserve">Em 2007 e 2016, a dimensão que apresentou pior desempenho foi expedição internacional. A dimensão embarques internacionais não é prioridade em investimentos para melhorias no desempenho em países da América do Sul (MARTÍ; PUERTAS, 2017). Assim, cabem esforços de melhorias nas dimensões alfândega, expedição internacional e infraestrutura, que são áreas diretamente relacionadas com a melhoria dos indicadores relacionados à competitividade global do país e que, no caso brasileiro, com exceção de infraestrutura, não apresentaram bom desempenho (EKICI </w:t>
      </w:r>
      <w:proofErr w:type="gramStart"/>
      <w:r w:rsidRPr="00DA5D4D">
        <w:rPr>
          <w:i/>
        </w:rPr>
        <w:t>et</w:t>
      </w:r>
      <w:proofErr w:type="gramEnd"/>
      <w:r w:rsidRPr="00DA5D4D">
        <w:rPr>
          <w:i/>
        </w:rPr>
        <w:t xml:space="preserve"> al</w:t>
      </w:r>
      <w:r w:rsidRPr="00DA5D4D">
        <w:t xml:space="preserve">., 2017). </w:t>
      </w:r>
    </w:p>
    <w:p w14:paraId="49F5E72A" w14:textId="77777777" w:rsidR="00DA5D4D" w:rsidRPr="00DA5D4D" w:rsidRDefault="00DA5D4D" w:rsidP="00DA5D4D">
      <w:pPr>
        <w:spacing w:after="120" w:line="360" w:lineRule="auto"/>
        <w:jc w:val="both"/>
      </w:pPr>
      <w:r w:rsidRPr="00DA5D4D">
        <w:t xml:space="preserve">De maneira geral, os gráficos com desempenho LPI e </w:t>
      </w:r>
      <w:proofErr w:type="spellStart"/>
      <w:proofErr w:type="gramStart"/>
      <w:r w:rsidRPr="00DA5D4D">
        <w:t>LPIw</w:t>
      </w:r>
      <w:proofErr w:type="spellEnd"/>
      <w:proofErr w:type="gramEnd"/>
      <w:r w:rsidRPr="00DA5D4D">
        <w:t xml:space="preserve"> não apresentaram alterações significativas em sua forma ao longo dos anos. Os indicadores que apresentaram maior diferença entre os métodos foram rastreio e monitoramento, infraestrutura e qualidade dos serviços logísticos, respectivamente. No </w:t>
      </w:r>
      <w:proofErr w:type="spellStart"/>
      <w:proofErr w:type="gramStart"/>
      <w:r w:rsidRPr="00DA5D4D">
        <w:t>LPIw</w:t>
      </w:r>
      <w:proofErr w:type="spellEnd"/>
      <w:proofErr w:type="gramEnd"/>
      <w:r w:rsidRPr="00DA5D4D">
        <w:t xml:space="preserve">, infraestrutura e qualidade dos serviços logísticos são considerados os indicadores mais importantes, e o desempenho do país nos mesmos foi satisfatório no período analisado. Alfândega e pontualidade também são representativos em relação ao seu peso no </w:t>
      </w:r>
      <w:proofErr w:type="spellStart"/>
      <w:proofErr w:type="gramStart"/>
      <w:r w:rsidRPr="00DA5D4D">
        <w:t>LPIw</w:t>
      </w:r>
      <w:proofErr w:type="spellEnd"/>
      <w:proofErr w:type="gramEnd"/>
      <w:r w:rsidRPr="00DA5D4D">
        <w:t xml:space="preserve">, sendo que pontualidade apresentou bom desempenho e alfândega esteve entre os piores no período analisado. Por fim, a pontuação final do </w:t>
      </w:r>
      <w:proofErr w:type="spellStart"/>
      <w:proofErr w:type="gramStart"/>
      <w:r w:rsidRPr="00DA5D4D">
        <w:t>LPIw</w:t>
      </w:r>
      <w:proofErr w:type="spellEnd"/>
      <w:proofErr w:type="gramEnd"/>
      <w:r w:rsidRPr="00DA5D4D">
        <w:t xml:space="preserve"> em relação ao LPI foi sempre maior, com diferença entre 0,01 e 0,04 pontos. </w:t>
      </w:r>
    </w:p>
    <w:p w14:paraId="55D08F7B" w14:textId="77777777" w:rsidR="000E648F" w:rsidRDefault="000E648F" w:rsidP="00AB4A0B">
      <w:pPr>
        <w:spacing w:after="120" w:line="360" w:lineRule="auto"/>
        <w:jc w:val="both"/>
      </w:pPr>
    </w:p>
    <w:p w14:paraId="38E39831" w14:textId="6C74AE79" w:rsidR="00DA5D4D" w:rsidRPr="00DA5D4D" w:rsidRDefault="00DA5D4D" w:rsidP="00AB4A0B">
      <w:pPr>
        <w:spacing w:after="120" w:line="360" w:lineRule="auto"/>
        <w:jc w:val="both"/>
        <w:rPr>
          <w:rStyle w:val="TtulodoLivro"/>
        </w:rPr>
      </w:pPr>
      <w:r w:rsidRPr="00DA5D4D">
        <w:rPr>
          <w:rStyle w:val="TtulodoLivro"/>
        </w:rPr>
        <w:t>Conclusões</w:t>
      </w:r>
    </w:p>
    <w:p w14:paraId="2D6880A6" w14:textId="77777777" w:rsidR="00DA5D4D" w:rsidRPr="00DA5D4D" w:rsidRDefault="00DA5D4D" w:rsidP="00DA5D4D">
      <w:pPr>
        <w:spacing w:after="120" w:line="360" w:lineRule="auto"/>
        <w:jc w:val="both"/>
      </w:pPr>
      <w:r w:rsidRPr="00DA5D4D">
        <w:t xml:space="preserve">O presente estudo analisou o desempenho logístico do Brasil com base nos relatórios do LPI do Banco Mundial. Para dar suporte à análise dos dados em termos de tomada de decisão, foi </w:t>
      </w:r>
      <w:r w:rsidRPr="00DA5D4D">
        <w:lastRenderedPageBreak/>
        <w:t xml:space="preserve">utilizado o método </w:t>
      </w:r>
      <w:proofErr w:type="spellStart"/>
      <w:proofErr w:type="gramStart"/>
      <w:r w:rsidRPr="00DA5D4D">
        <w:t>LPIw</w:t>
      </w:r>
      <w:proofErr w:type="spellEnd"/>
      <w:proofErr w:type="gramEnd"/>
      <w:r w:rsidRPr="00DA5D4D">
        <w:t xml:space="preserve">, que atribui pesos diferenciados para cada dimensão do LPI. No entanto, as análises comparativas entre o LPI e o </w:t>
      </w:r>
      <w:proofErr w:type="spellStart"/>
      <w:proofErr w:type="gramStart"/>
      <w:r w:rsidRPr="00DA5D4D">
        <w:t>LPIw</w:t>
      </w:r>
      <w:proofErr w:type="spellEnd"/>
      <w:proofErr w:type="gramEnd"/>
      <w:r w:rsidRPr="00DA5D4D">
        <w:t xml:space="preserve"> não apresentaram diferenças significativas no desempenho global do país. As análises do LPI e com o </w:t>
      </w:r>
      <w:proofErr w:type="spellStart"/>
      <w:proofErr w:type="gramStart"/>
      <w:r w:rsidRPr="00DA5D4D">
        <w:t>LPIw</w:t>
      </w:r>
      <w:proofErr w:type="spellEnd"/>
      <w:proofErr w:type="gramEnd"/>
      <w:r w:rsidRPr="00DA5D4D">
        <w:t xml:space="preserve"> indicam necessidade de investimentos em melhoria nas dimensões remessas internacionais e alfândega.</w:t>
      </w:r>
    </w:p>
    <w:p w14:paraId="1D1C3CC5" w14:textId="77777777" w:rsidR="00DA5D4D" w:rsidRPr="00DA5D4D" w:rsidRDefault="00DA5D4D" w:rsidP="00DA5D4D">
      <w:pPr>
        <w:spacing w:after="120" w:line="360" w:lineRule="auto"/>
        <w:jc w:val="both"/>
      </w:pPr>
      <w:r w:rsidRPr="00DA5D4D">
        <w:t xml:space="preserve">O método </w:t>
      </w:r>
      <w:proofErr w:type="spellStart"/>
      <w:proofErr w:type="gramStart"/>
      <w:r w:rsidRPr="00DA5D4D">
        <w:t>LPIw</w:t>
      </w:r>
      <w:proofErr w:type="spellEnd"/>
      <w:proofErr w:type="gramEnd"/>
      <w:r w:rsidRPr="00DA5D4D">
        <w:t xml:space="preserve"> prioriza as dimensões infraestrutura e qualidade dos serviços logísticos, que apresentaram pontuações satisfatórias no período analisado, sendo que a qualidade dos serviços logísticos no país esteve entre as melhores pontuações em 2007, 2014, 2016 e 2018. No entanto, rastreio e monitoramento, que é a dimensão com menor peso para o </w:t>
      </w:r>
      <w:proofErr w:type="spellStart"/>
      <w:proofErr w:type="gramStart"/>
      <w:r w:rsidRPr="00DA5D4D">
        <w:t>LPIw</w:t>
      </w:r>
      <w:proofErr w:type="spellEnd"/>
      <w:proofErr w:type="gramEnd"/>
      <w:r w:rsidRPr="00DA5D4D">
        <w:t>, esteve entre as melhores pontuações em 2010, 2012 e 2016. Esse resultado é condizente com a literatura, que afirma que essa dimensão é importante para os países da América do Sul.</w:t>
      </w:r>
    </w:p>
    <w:p w14:paraId="5F540A96" w14:textId="77777777" w:rsidR="00DA5D4D" w:rsidRPr="00DA5D4D" w:rsidRDefault="00DA5D4D" w:rsidP="00DA5D4D">
      <w:pPr>
        <w:spacing w:after="120" w:line="360" w:lineRule="auto"/>
        <w:jc w:val="both"/>
      </w:pPr>
      <w:r w:rsidRPr="00DA5D4D">
        <w:t xml:space="preserve">O Brasil apresentou o pior desempenho na dimensão alfândega em todos os anos analisados. Essa dimensão é representativa também no </w:t>
      </w:r>
      <w:proofErr w:type="spellStart"/>
      <w:proofErr w:type="gramStart"/>
      <w:r w:rsidRPr="00DA5D4D">
        <w:t>LPIw</w:t>
      </w:r>
      <w:proofErr w:type="spellEnd"/>
      <w:proofErr w:type="gramEnd"/>
      <w:r w:rsidRPr="00DA5D4D">
        <w:t xml:space="preserve">, e também foi apontada na literatura como crítica em termos de melhoria no desempenho logístico do país, bem como para elevar o nível de exportação do Brasil. </w:t>
      </w:r>
    </w:p>
    <w:p w14:paraId="3626FF19" w14:textId="77777777" w:rsidR="00DA5D4D" w:rsidRPr="00DA5D4D" w:rsidRDefault="00DA5D4D" w:rsidP="00DA5D4D">
      <w:pPr>
        <w:spacing w:after="120" w:line="360" w:lineRule="auto"/>
        <w:jc w:val="both"/>
      </w:pPr>
      <w:r w:rsidRPr="00DA5D4D">
        <w:t xml:space="preserve">Estudos futuros podem ampliar as análises como </w:t>
      </w:r>
      <w:proofErr w:type="spellStart"/>
      <w:proofErr w:type="gramStart"/>
      <w:r w:rsidRPr="00DA5D4D">
        <w:t>LPIw</w:t>
      </w:r>
      <w:proofErr w:type="spellEnd"/>
      <w:proofErr w:type="gramEnd"/>
      <w:r w:rsidRPr="00DA5D4D">
        <w:t>, comparando o desempenho do Brasil com o de países da América do Sul, BRICS e/ou com seus principais concorrentes no comércio internacional. Além disso, sugerem-se estudos para a atribuição de pesos do LPI apenas com especialistas brasileiros. Por fim, estudos futuros sobre melhorias nas dimensões alfândega e remessas internacionais são necessários para o desempenho logístico do país, podendo ser estudos teóricos e qualitativos, bem como análise dos resultados com base em outros índices de desempenho.</w:t>
      </w:r>
    </w:p>
    <w:p w14:paraId="1A96542F" w14:textId="77777777" w:rsidR="00DA5D4D" w:rsidRDefault="00DA5D4D" w:rsidP="00AB4A0B">
      <w:pPr>
        <w:spacing w:after="120" w:line="360" w:lineRule="auto"/>
        <w:jc w:val="both"/>
      </w:pPr>
    </w:p>
    <w:p w14:paraId="35D9E19F" w14:textId="74064599" w:rsidR="00DA5D4D" w:rsidRPr="00DA5D4D" w:rsidRDefault="00DA5D4D" w:rsidP="00AB4A0B">
      <w:pPr>
        <w:spacing w:after="120" w:line="360" w:lineRule="auto"/>
        <w:jc w:val="both"/>
        <w:rPr>
          <w:rStyle w:val="TtulodoLivro"/>
          <w:lang w:val="en-US"/>
        </w:rPr>
      </w:pPr>
      <w:proofErr w:type="spellStart"/>
      <w:r w:rsidRPr="00DA5D4D">
        <w:rPr>
          <w:rStyle w:val="TtulodoLivro"/>
          <w:lang w:val="en-US"/>
        </w:rPr>
        <w:t>Referências</w:t>
      </w:r>
      <w:proofErr w:type="spellEnd"/>
    </w:p>
    <w:p w14:paraId="770C66FA" w14:textId="77777777" w:rsidR="00DA5D4D" w:rsidRPr="00DA5D4D" w:rsidRDefault="00DA5D4D" w:rsidP="00DA5D4D">
      <w:pPr>
        <w:spacing w:after="120"/>
        <w:rPr>
          <w:b/>
          <w:lang w:val="en-US"/>
        </w:rPr>
      </w:pPr>
      <w:r w:rsidRPr="00DA5D4D">
        <w:rPr>
          <w:lang w:val="en-US"/>
        </w:rPr>
        <w:t xml:space="preserve">ARVIS, J. F., MUSTRA, M. A., PANZER, A, OJALA, L., NAULA, </w:t>
      </w:r>
      <w:proofErr w:type="gramStart"/>
      <w:r w:rsidRPr="00DA5D4D">
        <w:rPr>
          <w:lang w:val="en-US"/>
        </w:rPr>
        <w:t>T</w:t>
      </w:r>
      <w:proofErr w:type="gramEnd"/>
      <w:r w:rsidRPr="00DA5D4D">
        <w:rPr>
          <w:i/>
          <w:lang w:val="en-US"/>
        </w:rPr>
        <w:t>. Connecting to Compete: Trade Logistics in the Global Economy</w:t>
      </w:r>
      <w:r w:rsidRPr="00DA5D4D">
        <w:rPr>
          <w:b/>
          <w:lang w:val="en-US"/>
        </w:rPr>
        <w:t xml:space="preserve">. </w:t>
      </w:r>
      <w:proofErr w:type="gramStart"/>
      <w:r w:rsidRPr="00DA5D4D">
        <w:rPr>
          <w:lang w:val="en-US"/>
        </w:rPr>
        <w:t>The World Bank, Washington, DC, 2007</w:t>
      </w:r>
      <w:r w:rsidRPr="00DA5D4D">
        <w:rPr>
          <w:b/>
          <w:lang w:val="en-US"/>
        </w:rPr>
        <w:t>.</w:t>
      </w:r>
      <w:proofErr w:type="gramEnd"/>
    </w:p>
    <w:p w14:paraId="31D774EA" w14:textId="77777777" w:rsidR="00DA5D4D" w:rsidRPr="00DA5D4D" w:rsidRDefault="00DA5D4D" w:rsidP="00DA5D4D">
      <w:pPr>
        <w:spacing w:after="120"/>
        <w:rPr>
          <w:lang w:val="en-US"/>
        </w:rPr>
      </w:pPr>
      <w:r w:rsidRPr="00DA5D4D">
        <w:rPr>
          <w:lang w:val="en-US"/>
        </w:rPr>
        <w:t xml:space="preserve">ARVIS, J. F., MUSTRA, M. A., OJALA, L., SHEPHERD, B., SASLAVSKY, D. </w:t>
      </w:r>
      <w:r w:rsidRPr="00DA5D4D">
        <w:rPr>
          <w:i/>
          <w:lang w:val="en-US"/>
        </w:rPr>
        <w:t>Connecting to Compete 2010: Trade Logistics in the Global Economy</w:t>
      </w:r>
      <w:r w:rsidRPr="00DA5D4D">
        <w:rPr>
          <w:lang w:val="en-US"/>
        </w:rPr>
        <w:t xml:space="preserve">.  </w:t>
      </w:r>
      <w:proofErr w:type="gramStart"/>
      <w:r w:rsidRPr="00DA5D4D">
        <w:rPr>
          <w:lang w:val="en-US"/>
        </w:rPr>
        <w:t>The World Bank.</w:t>
      </w:r>
      <w:proofErr w:type="gramEnd"/>
      <w:r w:rsidRPr="00DA5D4D">
        <w:rPr>
          <w:lang w:val="en-US"/>
        </w:rPr>
        <w:t xml:space="preserve"> 2010. </w:t>
      </w:r>
    </w:p>
    <w:p w14:paraId="31AD04A8" w14:textId="77777777" w:rsidR="00DA5D4D" w:rsidRPr="00DA5D4D" w:rsidRDefault="00DA5D4D" w:rsidP="00DA5D4D">
      <w:pPr>
        <w:spacing w:after="120"/>
        <w:rPr>
          <w:lang w:val="en-US"/>
        </w:rPr>
      </w:pPr>
      <w:r w:rsidRPr="00DA5D4D">
        <w:rPr>
          <w:lang w:val="en-US"/>
        </w:rPr>
        <w:t xml:space="preserve">ARVIS, J. F, MUSTRA, M. A., OJALA, L., SHEPHERD, B., SASLAVSKY, D. </w:t>
      </w:r>
      <w:r w:rsidRPr="00DA5D4D">
        <w:rPr>
          <w:i/>
          <w:lang w:val="en-US"/>
        </w:rPr>
        <w:t>Connecting to compete 2012: Trade logistics in the global economy.</w:t>
      </w:r>
      <w:r w:rsidRPr="00DA5D4D">
        <w:rPr>
          <w:b/>
          <w:lang w:val="en-US"/>
        </w:rPr>
        <w:t xml:space="preserve"> </w:t>
      </w:r>
      <w:proofErr w:type="gramStart"/>
      <w:r w:rsidRPr="00DA5D4D">
        <w:rPr>
          <w:lang w:val="en-US"/>
        </w:rPr>
        <w:t>The World Bank, Washington, DC, 2012.</w:t>
      </w:r>
      <w:proofErr w:type="gramEnd"/>
    </w:p>
    <w:p w14:paraId="55987E17" w14:textId="77777777" w:rsidR="00DA5D4D" w:rsidRPr="00DA5D4D" w:rsidRDefault="00DA5D4D" w:rsidP="00DA5D4D">
      <w:pPr>
        <w:spacing w:after="120"/>
        <w:rPr>
          <w:lang w:val="en-US"/>
        </w:rPr>
      </w:pPr>
      <w:r w:rsidRPr="00DA5D4D">
        <w:rPr>
          <w:lang w:val="en-US"/>
        </w:rPr>
        <w:t xml:space="preserve">ARVIS, J. F., SASLAVSKY, D., OJALA, L., SHEPHERD, B., BUSCH, C., RAJ, A. </w:t>
      </w:r>
      <w:r w:rsidRPr="00DA5D4D">
        <w:rPr>
          <w:i/>
          <w:lang w:val="en-US"/>
        </w:rPr>
        <w:t>Connecting to compete 2014: Trade logistics in the global economy</w:t>
      </w:r>
      <w:r w:rsidRPr="00DA5D4D">
        <w:rPr>
          <w:b/>
          <w:lang w:val="en-US"/>
        </w:rPr>
        <w:t xml:space="preserve">. </w:t>
      </w:r>
      <w:proofErr w:type="gramStart"/>
      <w:r w:rsidRPr="00DA5D4D">
        <w:rPr>
          <w:lang w:val="en-US"/>
        </w:rPr>
        <w:t>The World Bank, Washington, DC, 2014.</w:t>
      </w:r>
      <w:proofErr w:type="gramEnd"/>
      <w:r w:rsidRPr="00DA5D4D">
        <w:rPr>
          <w:lang w:val="en-US"/>
        </w:rPr>
        <w:t xml:space="preserve"> </w:t>
      </w:r>
    </w:p>
    <w:p w14:paraId="562A291F" w14:textId="77777777" w:rsidR="00DA5D4D" w:rsidRPr="00DA5D4D" w:rsidRDefault="00DA5D4D" w:rsidP="00DA5D4D">
      <w:pPr>
        <w:spacing w:after="120"/>
        <w:rPr>
          <w:lang w:val="en-US"/>
        </w:rPr>
      </w:pPr>
      <w:r w:rsidRPr="00DA5D4D">
        <w:rPr>
          <w:lang w:val="en-US"/>
        </w:rPr>
        <w:lastRenderedPageBreak/>
        <w:t xml:space="preserve">ARVIS, J. F., SASLAVSKY, D., OJALA, L., SHEPHERD, B., BUSCH, C., RAJ, A., NAULA, T. </w:t>
      </w:r>
      <w:r w:rsidRPr="00DA5D4D">
        <w:rPr>
          <w:i/>
          <w:lang w:val="en-US"/>
        </w:rPr>
        <w:t>Connecting to compete 2016: Trade logistics in the global economy</w:t>
      </w:r>
      <w:r w:rsidRPr="00DA5D4D">
        <w:rPr>
          <w:b/>
          <w:lang w:val="en-US"/>
        </w:rPr>
        <w:t xml:space="preserve">. </w:t>
      </w:r>
      <w:proofErr w:type="gramStart"/>
      <w:r w:rsidRPr="00DA5D4D">
        <w:rPr>
          <w:lang w:val="en-US"/>
        </w:rPr>
        <w:t>The World Bank, Washington, DC, 2016.</w:t>
      </w:r>
      <w:proofErr w:type="gramEnd"/>
      <w:r w:rsidRPr="00DA5D4D">
        <w:rPr>
          <w:lang w:val="en-US"/>
        </w:rPr>
        <w:t xml:space="preserve"> </w:t>
      </w:r>
    </w:p>
    <w:p w14:paraId="2A787244" w14:textId="77777777" w:rsidR="00DA5D4D" w:rsidRPr="00DA5D4D" w:rsidRDefault="00DA5D4D" w:rsidP="00DA5D4D">
      <w:pPr>
        <w:spacing w:after="120"/>
      </w:pPr>
      <w:r w:rsidRPr="00DA5D4D">
        <w:rPr>
          <w:lang w:val="en-US"/>
        </w:rPr>
        <w:t>ARVIS, J. F., OJALA, L., WIEDERER, C., SHEPHERD, B., RAJ, A., DAIRABAYEVA, K., KIISKI, T. </w:t>
      </w:r>
      <w:r w:rsidRPr="00DA5D4D">
        <w:rPr>
          <w:i/>
          <w:iCs/>
          <w:lang w:val="en-US"/>
        </w:rPr>
        <w:t>Connecting to Compete 2018: Trade Logistics in the Global Economy</w:t>
      </w:r>
      <w:r w:rsidRPr="00DA5D4D">
        <w:rPr>
          <w:b/>
          <w:lang w:val="en-US"/>
        </w:rPr>
        <w:t>.</w:t>
      </w:r>
      <w:r w:rsidRPr="00DA5D4D">
        <w:rPr>
          <w:lang w:val="en-US"/>
        </w:rPr>
        <w:t xml:space="preserve"> </w:t>
      </w:r>
      <w:r w:rsidRPr="00DA5D4D">
        <w:t>The World Bank, Washington, DC, 2018.</w:t>
      </w:r>
    </w:p>
    <w:p w14:paraId="69C452AC" w14:textId="77777777" w:rsidR="00DA5D4D" w:rsidRPr="00DA5D4D" w:rsidRDefault="00DA5D4D" w:rsidP="00DA5D4D">
      <w:pPr>
        <w:spacing w:after="120"/>
        <w:rPr>
          <w:b/>
          <w:bCs/>
        </w:rPr>
      </w:pPr>
      <w:r w:rsidRPr="00DA5D4D">
        <w:t xml:space="preserve">BANCO MUNDIAL. </w:t>
      </w:r>
      <w:r w:rsidRPr="00DA5D4D">
        <w:rPr>
          <w:bCs/>
          <w:i/>
        </w:rPr>
        <w:t xml:space="preserve">Emissões de CO2 do transporte 2015 (% do total de combustão de combustível). </w:t>
      </w:r>
      <w:r w:rsidRPr="00DA5D4D">
        <w:rPr>
          <w:bCs/>
        </w:rPr>
        <w:t>Disponível em: &lt;</w:t>
      </w:r>
      <w:hyperlink r:id="rId22" w:history="1">
        <w:r w:rsidRPr="00DA5D4D">
          <w:rPr>
            <w:rStyle w:val="Hyperlink"/>
            <w:bCs/>
            <w:color w:val="auto"/>
          </w:rPr>
          <w:t>https://data.worldbank.org/indicator/EN.CO2.TRAN.ZS</w:t>
        </w:r>
      </w:hyperlink>
      <w:r w:rsidRPr="00DA5D4D">
        <w:rPr>
          <w:bCs/>
        </w:rPr>
        <w:t xml:space="preserve">&gt;. Acesso em 23 de </w:t>
      </w:r>
      <w:proofErr w:type="spellStart"/>
      <w:r w:rsidRPr="00DA5D4D">
        <w:rPr>
          <w:bCs/>
        </w:rPr>
        <w:t>Ago</w:t>
      </w:r>
      <w:proofErr w:type="spellEnd"/>
      <w:r w:rsidRPr="00DA5D4D">
        <w:rPr>
          <w:bCs/>
        </w:rPr>
        <w:t xml:space="preserve"> de 2018.</w:t>
      </w:r>
    </w:p>
    <w:p w14:paraId="2BA484A0" w14:textId="77777777" w:rsidR="00DA5D4D" w:rsidRPr="00DA5D4D" w:rsidRDefault="00DA5D4D" w:rsidP="00DA5D4D">
      <w:pPr>
        <w:spacing w:after="120"/>
        <w:rPr>
          <w:lang w:val="en-US"/>
        </w:rPr>
      </w:pPr>
      <w:r w:rsidRPr="00DA5D4D">
        <w:t xml:space="preserve">D’ALEO, V.; SERGI, B. S. </w:t>
      </w:r>
      <w:proofErr w:type="spellStart"/>
      <w:r w:rsidRPr="00DA5D4D">
        <w:t>Human</w:t>
      </w:r>
      <w:proofErr w:type="spellEnd"/>
      <w:r w:rsidRPr="00DA5D4D">
        <w:t xml:space="preserve"> </w:t>
      </w:r>
      <w:proofErr w:type="spellStart"/>
      <w:r w:rsidRPr="00DA5D4D">
        <w:t>factor</w:t>
      </w:r>
      <w:proofErr w:type="spellEnd"/>
      <w:r w:rsidRPr="00DA5D4D">
        <w:t xml:space="preserve">: </w:t>
      </w:r>
      <w:proofErr w:type="spellStart"/>
      <w:r w:rsidRPr="00DA5D4D">
        <w:t>the</w:t>
      </w:r>
      <w:proofErr w:type="spellEnd"/>
      <w:r w:rsidRPr="00DA5D4D">
        <w:t xml:space="preserve"> </w:t>
      </w:r>
      <w:proofErr w:type="spellStart"/>
      <w:r w:rsidRPr="00DA5D4D">
        <w:t>competitive</w:t>
      </w:r>
      <w:proofErr w:type="spellEnd"/>
      <w:r w:rsidRPr="00DA5D4D">
        <w:t xml:space="preserve"> </w:t>
      </w:r>
      <w:proofErr w:type="spellStart"/>
      <w:r w:rsidRPr="00DA5D4D">
        <w:t>advantage</w:t>
      </w:r>
      <w:proofErr w:type="spellEnd"/>
      <w:r w:rsidRPr="00DA5D4D">
        <w:t xml:space="preserve"> driver </w:t>
      </w:r>
      <w:proofErr w:type="spellStart"/>
      <w:r w:rsidRPr="00DA5D4D">
        <w:t>of</w:t>
      </w:r>
      <w:proofErr w:type="spellEnd"/>
      <w:r w:rsidRPr="00DA5D4D">
        <w:t xml:space="preserve"> </w:t>
      </w:r>
      <w:proofErr w:type="spellStart"/>
      <w:r w:rsidRPr="00DA5D4D">
        <w:t>the</w:t>
      </w:r>
      <w:proofErr w:type="spellEnd"/>
      <w:r w:rsidRPr="00DA5D4D">
        <w:t xml:space="preserve"> </w:t>
      </w:r>
      <w:proofErr w:type="spellStart"/>
      <w:r w:rsidRPr="00DA5D4D">
        <w:t>EU’s</w:t>
      </w:r>
      <w:proofErr w:type="spellEnd"/>
      <w:r w:rsidRPr="00DA5D4D">
        <w:t xml:space="preserve"> </w:t>
      </w:r>
      <w:proofErr w:type="spellStart"/>
      <w:r w:rsidRPr="00DA5D4D">
        <w:t>logistics</w:t>
      </w:r>
      <w:proofErr w:type="spellEnd"/>
      <w:r w:rsidRPr="00DA5D4D">
        <w:t xml:space="preserve"> sector. </w:t>
      </w:r>
      <w:r w:rsidRPr="00DA5D4D">
        <w:rPr>
          <w:bCs/>
          <w:i/>
          <w:lang w:val="en-US"/>
        </w:rPr>
        <w:t>International journal of production research</w:t>
      </w:r>
      <w:r w:rsidRPr="00DA5D4D">
        <w:rPr>
          <w:lang w:val="en-US"/>
        </w:rPr>
        <w:t xml:space="preserve">, v. 55, n. 3, p. 642-655, 2017. </w:t>
      </w:r>
    </w:p>
    <w:p w14:paraId="6180B66E" w14:textId="77777777" w:rsidR="00DA5D4D" w:rsidRPr="00DA5D4D" w:rsidRDefault="00DA5D4D" w:rsidP="00DA5D4D">
      <w:pPr>
        <w:spacing w:after="120"/>
        <w:rPr>
          <w:b/>
        </w:rPr>
      </w:pPr>
      <w:r w:rsidRPr="00DA5D4D">
        <w:rPr>
          <w:lang w:val="en-US"/>
        </w:rPr>
        <w:t xml:space="preserve">EKICI, Ş. </w:t>
      </w:r>
      <w:proofErr w:type="gramStart"/>
      <w:r w:rsidRPr="00DA5D4D">
        <w:rPr>
          <w:lang w:val="en-US"/>
        </w:rPr>
        <w:t>Ö.;</w:t>
      </w:r>
      <w:proofErr w:type="gramEnd"/>
      <w:r w:rsidRPr="00DA5D4D">
        <w:rPr>
          <w:lang w:val="en-US"/>
        </w:rPr>
        <w:t xml:space="preserve"> KABAK, Ö.; ÜLENGIN, F. Linking to compete: Logistics and global competitiveness interaction. </w:t>
      </w:r>
      <w:proofErr w:type="spellStart"/>
      <w:r w:rsidRPr="00DA5D4D">
        <w:rPr>
          <w:bCs/>
          <w:i/>
        </w:rPr>
        <w:t>Transport</w:t>
      </w:r>
      <w:proofErr w:type="spellEnd"/>
      <w:r w:rsidRPr="00DA5D4D">
        <w:rPr>
          <w:bCs/>
          <w:i/>
        </w:rPr>
        <w:t xml:space="preserve"> </w:t>
      </w:r>
      <w:proofErr w:type="spellStart"/>
      <w:r w:rsidRPr="00DA5D4D">
        <w:rPr>
          <w:bCs/>
          <w:i/>
        </w:rPr>
        <w:t>Policy</w:t>
      </w:r>
      <w:proofErr w:type="spellEnd"/>
      <w:r w:rsidRPr="00DA5D4D">
        <w:t xml:space="preserve">, v. 48, p. 117-128, 2016. </w:t>
      </w:r>
    </w:p>
    <w:p w14:paraId="21E37EAB" w14:textId="77777777" w:rsidR="00DA5D4D" w:rsidRPr="00DA5D4D" w:rsidRDefault="00DA5D4D" w:rsidP="00DA5D4D">
      <w:pPr>
        <w:spacing w:after="120"/>
      </w:pPr>
      <w:proofErr w:type="gramStart"/>
      <w:r w:rsidRPr="00DA5D4D">
        <w:t>FARIA,</w:t>
      </w:r>
      <w:proofErr w:type="gramEnd"/>
      <w:r w:rsidRPr="00DA5D4D">
        <w:t xml:space="preserve"> R. N.; SOUZA, C. S.; VIEIRA, J. G. V. Avaliação de indicadores de desempenho logístico de Brasil no comércio internacional.</w:t>
      </w:r>
      <w:r w:rsidRPr="00DA5D4D">
        <w:rPr>
          <w:b/>
          <w:bCs/>
        </w:rPr>
        <w:t> </w:t>
      </w:r>
      <w:r w:rsidRPr="00DA5D4D">
        <w:rPr>
          <w:bCs/>
          <w:i/>
        </w:rPr>
        <w:t>RAM, Rev. Adm. Mackenzie</w:t>
      </w:r>
      <w:r w:rsidRPr="00DA5D4D">
        <w:t>, São Paulo, v. 16, n. 1, p. 213-235, 2015.  </w:t>
      </w:r>
    </w:p>
    <w:p w14:paraId="2F7F1E65" w14:textId="77777777" w:rsidR="00DA5D4D" w:rsidRPr="00DA5D4D" w:rsidRDefault="00DA5D4D" w:rsidP="00DA5D4D">
      <w:pPr>
        <w:spacing w:after="120"/>
        <w:rPr>
          <w:lang w:val="en-US"/>
        </w:rPr>
      </w:pPr>
      <w:r w:rsidRPr="00DA5D4D">
        <w:t xml:space="preserve">FUNDO MONETÁRIO INTERNACIONAL (FMI). </w:t>
      </w:r>
      <w:r w:rsidRPr="00DA5D4D">
        <w:rPr>
          <w:i/>
          <w:iCs/>
        </w:rPr>
        <w:t>Dados e estatísticas do Fundo Monetário Internacional</w:t>
      </w:r>
      <w:r w:rsidRPr="00DA5D4D">
        <w:rPr>
          <w:i/>
        </w:rPr>
        <w:t xml:space="preserve">. </w:t>
      </w:r>
      <w:r w:rsidRPr="00DA5D4D">
        <w:t xml:space="preserve">Disponível em: &lt;http:// </w:t>
      </w:r>
      <w:hyperlink r:id="rId23" w:history="1">
        <w:r w:rsidRPr="00DA5D4D">
          <w:rPr>
            <w:rStyle w:val="Hyperlink"/>
            <w:color w:val="auto"/>
          </w:rPr>
          <w:t>https://www.imf.org/en/Publications/FM/Issues/2018/04/06/fiscal-monitor-april-2018</w:t>
        </w:r>
      </w:hyperlink>
      <w:r w:rsidRPr="00DA5D4D">
        <w:t xml:space="preserve">&gt;. </w:t>
      </w:r>
      <w:proofErr w:type="spellStart"/>
      <w:proofErr w:type="gramStart"/>
      <w:r w:rsidRPr="00DA5D4D">
        <w:rPr>
          <w:lang w:val="en-US"/>
        </w:rPr>
        <w:t>Acesso</w:t>
      </w:r>
      <w:proofErr w:type="spellEnd"/>
      <w:r w:rsidRPr="00DA5D4D">
        <w:rPr>
          <w:lang w:val="en-US"/>
        </w:rPr>
        <w:t xml:space="preserve"> </w:t>
      </w:r>
      <w:proofErr w:type="spellStart"/>
      <w:r w:rsidRPr="00DA5D4D">
        <w:rPr>
          <w:lang w:val="en-US"/>
        </w:rPr>
        <w:t>em</w:t>
      </w:r>
      <w:proofErr w:type="spellEnd"/>
      <w:r w:rsidRPr="00DA5D4D">
        <w:rPr>
          <w:lang w:val="en-US"/>
        </w:rPr>
        <w:t xml:space="preserve"> 20 de </w:t>
      </w:r>
      <w:proofErr w:type="spellStart"/>
      <w:r w:rsidRPr="00DA5D4D">
        <w:rPr>
          <w:lang w:val="en-US"/>
        </w:rPr>
        <w:t>setembro</w:t>
      </w:r>
      <w:proofErr w:type="spellEnd"/>
      <w:r w:rsidRPr="00DA5D4D">
        <w:rPr>
          <w:lang w:val="en-US"/>
        </w:rPr>
        <w:t xml:space="preserve"> de 2018.</w:t>
      </w:r>
      <w:proofErr w:type="gramEnd"/>
    </w:p>
    <w:p w14:paraId="3ABDCBFA" w14:textId="77777777" w:rsidR="00DA5D4D" w:rsidRPr="00DA5D4D" w:rsidRDefault="00DA5D4D" w:rsidP="00DA5D4D">
      <w:pPr>
        <w:spacing w:after="120"/>
        <w:rPr>
          <w:b/>
          <w:lang w:val="en-US"/>
        </w:rPr>
      </w:pPr>
      <w:proofErr w:type="gramStart"/>
      <w:r w:rsidRPr="00DA5D4D">
        <w:rPr>
          <w:lang w:val="en-US"/>
        </w:rPr>
        <w:t>HILMOLA, O. P. Logistics sector development potential of world's oil exporters</w:t>
      </w:r>
      <w:r w:rsidRPr="00DA5D4D">
        <w:rPr>
          <w:b/>
          <w:lang w:val="en-US"/>
        </w:rPr>
        <w:t>.</w:t>
      </w:r>
      <w:proofErr w:type="gramEnd"/>
      <w:r w:rsidRPr="00DA5D4D">
        <w:rPr>
          <w:b/>
          <w:lang w:val="en-US"/>
        </w:rPr>
        <w:t xml:space="preserve"> </w:t>
      </w:r>
      <w:proofErr w:type="gramStart"/>
      <w:r w:rsidRPr="00DA5D4D">
        <w:rPr>
          <w:i/>
          <w:lang w:val="en-US"/>
        </w:rPr>
        <w:t>International Journal of Energy Sector Management</w:t>
      </w:r>
      <w:r w:rsidRPr="00DA5D4D">
        <w:rPr>
          <w:lang w:val="en-US"/>
        </w:rPr>
        <w:t>, v. 5, n. 2, p. 256-270, 2011.</w:t>
      </w:r>
      <w:proofErr w:type="gramEnd"/>
      <w:r w:rsidRPr="00DA5D4D">
        <w:rPr>
          <w:lang w:val="en-US"/>
        </w:rPr>
        <w:t xml:space="preserve"> </w:t>
      </w:r>
    </w:p>
    <w:p w14:paraId="1E471402" w14:textId="77777777" w:rsidR="00DA5D4D" w:rsidRPr="00DA5D4D" w:rsidRDefault="00DA5D4D" w:rsidP="00DA5D4D">
      <w:pPr>
        <w:spacing w:after="120"/>
        <w:rPr>
          <w:b/>
        </w:rPr>
      </w:pPr>
      <w:r w:rsidRPr="00DA5D4D">
        <w:rPr>
          <w:lang w:val="en-US"/>
        </w:rPr>
        <w:t>HUNG LAU, K. Benchmarking green logistics performance with a composite index. </w:t>
      </w:r>
      <w:r w:rsidRPr="00DA5D4D">
        <w:rPr>
          <w:bCs/>
          <w:i/>
        </w:rPr>
        <w:t xml:space="preserve">Benchmarking: </w:t>
      </w:r>
      <w:proofErr w:type="spellStart"/>
      <w:r w:rsidRPr="00DA5D4D">
        <w:rPr>
          <w:bCs/>
          <w:i/>
        </w:rPr>
        <w:t>An</w:t>
      </w:r>
      <w:proofErr w:type="spellEnd"/>
      <w:r w:rsidRPr="00DA5D4D">
        <w:rPr>
          <w:bCs/>
          <w:i/>
        </w:rPr>
        <w:t xml:space="preserve"> </w:t>
      </w:r>
      <w:proofErr w:type="spellStart"/>
      <w:r w:rsidRPr="00DA5D4D">
        <w:rPr>
          <w:bCs/>
          <w:i/>
        </w:rPr>
        <w:t>International</w:t>
      </w:r>
      <w:proofErr w:type="spellEnd"/>
      <w:r w:rsidRPr="00DA5D4D">
        <w:rPr>
          <w:bCs/>
          <w:i/>
        </w:rPr>
        <w:t xml:space="preserve"> </w:t>
      </w:r>
      <w:proofErr w:type="spellStart"/>
      <w:r w:rsidRPr="00DA5D4D">
        <w:rPr>
          <w:bCs/>
          <w:i/>
        </w:rPr>
        <w:t>Journal</w:t>
      </w:r>
      <w:proofErr w:type="spellEnd"/>
      <w:r w:rsidRPr="00DA5D4D">
        <w:t xml:space="preserve">, v. 18, n. 6, p. 873-896, 2011. </w:t>
      </w:r>
    </w:p>
    <w:p w14:paraId="27D75091" w14:textId="77777777" w:rsidR="00DA5D4D" w:rsidRPr="00DA5D4D" w:rsidRDefault="00DA5D4D" w:rsidP="00DA5D4D">
      <w:pPr>
        <w:spacing w:after="120"/>
      </w:pPr>
      <w:r w:rsidRPr="00DA5D4D">
        <w:t xml:space="preserve">INSTITUTO DE ESTUDOS PARA O DESENVOLVIMENTO INDUSTRIAL (IEDI). </w:t>
      </w:r>
      <w:r w:rsidRPr="00DA5D4D">
        <w:rPr>
          <w:b/>
        </w:rPr>
        <w:t>A posição do Brasil no ranking mundial de serviços</w:t>
      </w:r>
      <w:r w:rsidRPr="00DA5D4D">
        <w:t>. Disponível em: &lt; http://www.iedi.org.br/artigos/top/analise/analise_iedi_20171110_comercio_exterior.html&gt;. Acesso em 20 de setembro de 2018.</w:t>
      </w:r>
    </w:p>
    <w:p w14:paraId="0A3A9B3A" w14:textId="77777777" w:rsidR="00DA5D4D" w:rsidRPr="00DA5D4D" w:rsidRDefault="00DA5D4D" w:rsidP="00DA5D4D">
      <w:pPr>
        <w:spacing w:after="120"/>
        <w:rPr>
          <w:lang w:val="en-US"/>
        </w:rPr>
      </w:pPr>
      <w:r w:rsidRPr="00DA5D4D">
        <w:t xml:space="preserve">KABAK, </w:t>
      </w:r>
      <w:proofErr w:type="spellStart"/>
      <w:r w:rsidRPr="00DA5D4D">
        <w:t>Özgür</w:t>
      </w:r>
      <w:proofErr w:type="spellEnd"/>
      <w:r w:rsidRPr="00DA5D4D">
        <w:t xml:space="preserve">; ÜLENGIN, </w:t>
      </w:r>
      <w:proofErr w:type="spellStart"/>
      <w:r w:rsidRPr="00DA5D4D">
        <w:t>Füsun</w:t>
      </w:r>
      <w:proofErr w:type="spellEnd"/>
      <w:r w:rsidRPr="00DA5D4D">
        <w:t xml:space="preserve">; EKICI, </w:t>
      </w:r>
      <w:proofErr w:type="spellStart"/>
      <w:r w:rsidRPr="00DA5D4D">
        <w:t>Şule</w:t>
      </w:r>
      <w:proofErr w:type="spellEnd"/>
      <w:r w:rsidRPr="00DA5D4D">
        <w:t xml:space="preserve"> </w:t>
      </w:r>
      <w:proofErr w:type="spellStart"/>
      <w:r w:rsidRPr="00DA5D4D">
        <w:t>Önsel</w:t>
      </w:r>
      <w:proofErr w:type="spellEnd"/>
      <w:r w:rsidRPr="00DA5D4D">
        <w:t xml:space="preserve">. </w:t>
      </w:r>
      <w:proofErr w:type="gramStart"/>
      <w:r w:rsidRPr="00DA5D4D">
        <w:rPr>
          <w:lang w:val="en-US"/>
        </w:rPr>
        <w:t>Connecting logistics performance to export: A scenario-based approach.</w:t>
      </w:r>
      <w:proofErr w:type="gramEnd"/>
      <w:r w:rsidRPr="00DA5D4D">
        <w:rPr>
          <w:lang w:val="en-US"/>
        </w:rPr>
        <w:t> </w:t>
      </w:r>
      <w:proofErr w:type="gramStart"/>
      <w:r w:rsidRPr="00DA5D4D">
        <w:rPr>
          <w:bCs/>
          <w:i/>
          <w:lang w:val="en-US"/>
        </w:rPr>
        <w:t>Research in Transportation Economics</w:t>
      </w:r>
      <w:r w:rsidRPr="00DA5D4D">
        <w:rPr>
          <w:lang w:val="en-US"/>
        </w:rPr>
        <w:t>, 2018.</w:t>
      </w:r>
      <w:proofErr w:type="gramEnd"/>
      <w:r w:rsidRPr="00DA5D4D">
        <w:rPr>
          <w:lang w:val="en-US"/>
        </w:rPr>
        <w:t xml:space="preserve"> </w:t>
      </w:r>
    </w:p>
    <w:p w14:paraId="0561BDAA" w14:textId="77777777" w:rsidR="00DA5D4D" w:rsidRPr="00DA5D4D" w:rsidRDefault="00DA5D4D" w:rsidP="00DA5D4D">
      <w:pPr>
        <w:spacing w:after="120"/>
        <w:rPr>
          <w:b/>
          <w:lang w:val="en-US"/>
        </w:rPr>
      </w:pPr>
      <w:r w:rsidRPr="00DA5D4D">
        <w:rPr>
          <w:lang w:val="en-US"/>
        </w:rPr>
        <w:t>KIM, I., MIN, H. Measuring supply chain efficiency from a green perspective. </w:t>
      </w:r>
      <w:proofErr w:type="gramStart"/>
      <w:r w:rsidRPr="00DA5D4D">
        <w:rPr>
          <w:bCs/>
          <w:i/>
          <w:lang w:val="en-US"/>
        </w:rPr>
        <w:t>Management Research Review</w:t>
      </w:r>
      <w:r w:rsidRPr="00DA5D4D">
        <w:rPr>
          <w:lang w:val="en-US"/>
        </w:rPr>
        <w:t>, v. 34, n. 11, p. 1169-1189, 2011.</w:t>
      </w:r>
      <w:proofErr w:type="gramEnd"/>
      <w:r w:rsidRPr="00DA5D4D">
        <w:rPr>
          <w:lang w:val="en-US"/>
        </w:rPr>
        <w:t xml:space="preserve"> </w:t>
      </w:r>
    </w:p>
    <w:p w14:paraId="11B5E213" w14:textId="77777777" w:rsidR="00DA5D4D" w:rsidRPr="00DA5D4D" w:rsidRDefault="00DA5D4D" w:rsidP="00DA5D4D">
      <w:pPr>
        <w:spacing w:after="120"/>
        <w:rPr>
          <w:lang w:val="en-US"/>
        </w:rPr>
      </w:pPr>
      <w:r w:rsidRPr="00DA5D4D">
        <w:t xml:space="preserve">MARIANO, E. B., GOBBO JR, J. A., DE CASTRO CAMIOTO, F., DO NASCIMENTO REBELATTO, D. A. CO2 </w:t>
      </w:r>
      <w:proofErr w:type="spellStart"/>
      <w:r w:rsidRPr="00DA5D4D">
        <w:t>emissions</w:t>
      </w:r>
      <w:proofErr w:type="spellEnd"/>
      <w:r w:rsidRPr="00DA5D4D">
        <w:t xml:space="preserve"> </w:t>
      </w:r>
      <w:proofErr w:type="spellStart"/>
      <w:r w:rsidRPr="00DA5D4D">
        <w:t>and</w:t>
      </w:r>
      <w:proofErr w:type="spellEnd"/>
      <w:r w:rsidRPr="00DA5D4D">
        <w:t xml:space="preserve"> </w:t>
      </w:r>
      <w:proofErr w:type="spellStart"/>
      <w:r w:rsidRPr="00DA5D4D">
        <w:t>logistics</w:t>
      </w:r>
      <w:proofErr w:type="spellEnd"/>
      <w:r w:rsidRPr="00DA5D4D">
        <w:t xml:space="preserve"> </w:t>
      </w:r>
      <w:proofErr w:type="gramStart"/>
      <w:r w:rsidRPr="00DA5D4D">
        <w:t>performance</w:t>
      </w:r>
      <w:proofErr w:type="gramEnd"/>
      <w:r w:rsidRPr="00DA5D4D">
        <w:t xml:space="preserve">: a </w:t>
      </w:r>
      <w:proofErr w:type="spellStart"/>
      <w:r w:rsidRPr="00DA5D4D">
        <w:t>composite</w:t>
      </w:r>
      <w:proofErr w:type="spellEnd"/>
      <w:r w:rsidRPr="00DA5D4D">
        <w:t xml:space="preserve"> index </w:t>
      </w:r>
      <w:proofErr w:type="spellStart"/>
      <w:r w:rsidRPr="00DA5D4D">
        <w:t>proposal</w:t>
      </w:r>
      <w:proofErr w:type="spellEnd"/>
      <w:r w:rsidRPr="00DA5D4D">
        <w:t xml:space="preserve">. </w:t>
      </w:r>
      <w:proofErr w:type="gramStart"/>
      <w:r w:rsidRPr="00DA5D4D">
        <w:rPr>
          <w:i/>
          <w:lang w:val="en-US"/>
        </w:rPr>
        <w:t xml:space="preserve">Journal of Cleaner </w:t>
      </w:r>
      <w:r w:rsidRPr="00DA5D4D">
        <w:rPr>
          <w:bCs/>
          <w:i/>
          <w:lang w:val="en-US"/>
        </w:rPr>
        <w:t>Management Research Review</w:t>
      </w:r>
      <w:r w:rsidRPr="00DA5D4D">
        <w:rPr>
          <w:i/>
          <w:lang w:val="en-US"/>
        </w:rPr>
        <w:t xml:space="preserve"> Production</w:t>
      </w:r>
      <w:r w:rsidRPr="00DA5D4D">
        <w:rPr>
          <w:lang w:val="en-US"/>
        </w:rPr>
        <w:t>, v. 163, p. 166-178, 2017.</w:t>
      </w:r>
      <w:proofErr w:type="gramEnd"/>
    </w:p>
    <w:p w14:paraId="09AEB90A" w14:textId="77777777" w:rsidR="00DA5D4D" w:rsidRPr="00DA5D4D" w:rsidRDefault="00DA5D4D" w:rsidP="00DA5D4D">
      <w:pPr>
        <w:spacing w:after="120"/>
        <w:rPr>
          <w:b/>
          <w:lang w:val="en-US"/>
        </w:rPr>
      </w:pPr>
      <w:proofErr w:type="gramStart"/>
      <w:r w:rsidRPr="00DA5D4D">
        <w:rPr>
          <w:lang w:val="en-US"/>
        </w:rPr>
        <w:t>MARTÍ, L.; PUERTAS, R.; GARCÍA, L.</w:t>
      </w:r>
      <w:proofErr w:type="gramEnd"/>
      <w:r w:rsidRPr="00DA5D4D">
        <w:rPr>
          <w:lang w:val="en-US"/>
        </w:rPr>
        <w:t xml:space="preserve"> </w:t>
      </w:r>
      <w:proofErr w:type="gramStart"/>
      <w:r w:rsidRPr="00DA5D4D">
        <w:rPr>
          <w:lang w:val="en-US"/>
        </w:rPr>
        <w:t>The importance of the Logistics Performance Index in international trade.</w:t>
      </w:r>
      <w:proofErr w:type="gramEnd"/>
      <w:r w:rsidRPr="00DA5D4D">
        <w:rPr>
          <w:lang w:val="en-US"/>
        </w:rPr>
        <w:t> </w:t>
      </w:r>
      <w:proofErr w:type="gramStart"/>
      <w:r w:rsidRPr="00DA5D4D">
        <w:rPr>
          <w:bCs/>
          <w:i/>
          <w:lang w:val="en-US"/>
        </w:rPr>
        <w:t>Applied economics</w:t>
      </w:r>
      <w:r w:rsidRPr="00DA5D4D">
        <w:rPr>
          <w:lang w:val="en-US"/>
        </w:rPr>
        <w:t>, v. 46, n. 24, p. 2982-2992, 2014.</w:t>
      </w:r>
      <w:proofErr w:type="gramEnd"/>
      <w:r w:rsidRPr="00DA5D4D">
        <w:rPr>
          <w:lang w:val="en-US"/>
        </w:rPr>
        <w:t xml:space="preserve"> </w:t>
      </w:r>
    </w:p>
    <w:p w14:paraId="0EFD68B6" w14:textId="77777777" w:rsidR="00DA5D4D" w:rsidRPr="00DA5D4D" w:rsidRDefault="00DA5D4D" w:rsidP="00DA5D4D">
      <w:pPr>
        <w:spacing w:after="120"/>
      </w:pPr>
      <w:proofErr w:type="gramStart"/>
      <w:r w:rsidRPr="00DA5D4D">
        <w:rPr>
          <w:lang w:val="en-US"/>
        </w:rPr>
        <w:t>MARTÍ, L.; PUERTAS, R.</w:t>
      </w:r>
      <w:proofErr w:type="gramEnd"/>
      <w:r w:rsidRPr="00DA5D4D">
        <w:rPr>
          <w:lang w:val="en-US"/>
        </w:rPr>
        <w:t xml:space="preserve"> The importance of export logistics and trade costs in emerging economies. </w:t>
      </w:r>
      <w:proofErr w:type="spellStart"/>
      <w:r w:rsidRPr="00DA5D4D">
        <w:rPr>
          <w:bCs/>
          <w:i/>
        </w:rPr>
        <w:t>Maritime</w:t>
      </w:r>
      <w:proofErr w:type="spellEnd"/>
      <w:r w:rsidRPr="00DA5D4D">
        <w:rPr>
          <w:bCs/>
          <w:i/>
        </w:rPr>
        <w:t xml:space="preserve"> </w:t>
      </w:r>
      <w:proofErr w:type="spellStart"/>
      <w:r w:rsidRPr="00DA5D4D">
        <w:rPr>
          <w:bCs/>
          <w:i/>
        </w:rPr>
        <w:t>Economics</w:t>
      </w:r>
      <w:proofErr w:type="spellEnd"/>
      <w:r w:rsidRPr="00DA5D4D">
        <w:rPr>
          <w:bCs/>
          <w:i/>
        </w:rPr>
        <w:t xml:space="preserve"> &amp; </w:t>
      </w:r>
      <w:proofErr w:type="spellStart"/>
      <w:r w:rsidRPr="00DA5D4D">
        <w:rPr>
          <w:bCs/>
          <w:i/>
        </w:rPr>
        <w:t>Logistics</w:t>
      </w:r>
      <w:proofErr w:type="spellEnd"/>
      <w:r w:rsidRPr="00DA5D4D">
        <w:t xml:space="preserve">, v. 19, n. 2, p. 315-333, 2017. </w:t>
      </w:r>
    </w:p>
    <w:p w14:paraId="2AA6CAD0" w14:textId="77777777" w:rsidR="00DA5D4D" w:rsidRPr="00DA5D4D" w:rsidRDefault="00DA5D4D" w:rsidP="00DA5D4D">
      <w:pPr>
        <w:spacing w:after="120"/>
        <w:rPr>
          <w:lang w:val="en-US"/>
        </w:rPr>
      </w:pPr>
      <w:r w:rsidRPr="00DA5D4D">
        <w:t>MEMEDOVIC, O</w:t>
      </w:r>
      <w:proofErr w:type="gramStart"/>
      <w:r w:rsidRPr="00DA5D4D">
        <w:t>.,</w:t>
      </w:r>
      <w:proofErr w:type="gramEnd"/>
      <w:r w:rsidRPr="00DA5D4D">
        <w:t xml:space="preserve"> OJALA, L., RODRIGUE, J. P., NAULA, T.  </w:t>
      </w:r>
      <w:r w:rsidRPr="00DA5D4D">
        <w:rPr>
          <w:lang w:val="en-US"/>
        </w:rPr>
        <w:t>Fuelling the global value chains: what role for logistics capabilities</w:t>
      </w:r>
      <w:proofErr w:type="gramStart"/>
      <w:r w:rsidRPr="00DA5D4D">
        <w:rPr>
          <w:lang w:val="en-US"/>
        </w:rPr>
        <w:t>?.</w:t>
      </w:r>
      <w:proofErr w:type="gramEnd"/>
      <w:r w:rsidRPr="00DA5D4D">
        <w:rPr>
          <w:lang w:val="en-US"/>
        </w:rPr>
        <w:t> </w:t>
      </w:r>
      <w:proofErr w:type="gramStart"/>
      <w:r w:rsidRPr="00DA5D4D">
        <w:rPr>
          <w:bCs/>
          <w:i/>
          <w:lang w:val="en-US"/>
        </w:rPr>
        <w:t>International Journal of Technological Learning, Innovation and Development</w:t>
      </w:r>
      <w:r w:rsidRPr="00DA5D4D">
        <w:rPr>
          <w:lang w:val="en-US"/>
        </w:rPr>
        <w:t>, v. 1, n. 3, p. 353-374, 2008.</w:t>
      </w:r>
      <w:proofErr w:type="gramEnd"/>
    </w:p>
    <w:p w14:paraId="5BBF45FB" w14:textId="77777777" w:rsidR="00DA5D4D" w:rsidRPr="00DA5D4D" w:rsidRDefault="00DA5D4D" w:rsidP="00DA5D4D">
      <w:pPr>
        <w:spacing w:after="120"/>
        <w:rPr>
          <w:b/>
          <w:lang w:val="en-US"/>
        </w:rPr>
      </w:pPr>
      <w:r w:rsidRPr="00DA5D4D">
        <w:lastRenderedPageBreak/>
        <w:t>MORINI, C.; JÚNIOR, E. I</w:t>
      </w:r>
      <w:proofErr w:type="gramStart"/>
      <w:r w:rsidRPr="00DA5D4D">
        <w:t>.;</w:t>
      </w:r>
      <w:proofErr w:type="gramEnd"/>
      <w:r w:rsidRPr="00DA5D4D">
        <w:t xml:space="preserve"> DE SANTA-EULÁLIA, L. A.; SERAFIM, M. P.. Indicadores de desempenho da Aduana do Brasil: em busca de uma abordagem equilibrada. </w:t>
      </w:r>
      <w:proofErr w:type="spellStart"/>
      <w:r w:rsidRPr="00DA5D4D">
        <w:rPr>
          <w:bCs/>
          <w:i/>
          <w:lang w:val="en-US"/>
        </w:rPr>
        <w:t>Revista</w:t>
      </w:r>
      <w:proofErr w:type="spellEnd"/>
      <w:r w:rsidRPr="00DA5D4D">
        <w:rPr>
          <w:bCs/>
          <w:i/>
          <w:lang w:val="en-US"/>
        </w:rPr>
        <w:t xml:space="preserve"> </w:t>
      </w:r>
      <w:proofErr w:type="spellStart"/>
      <w:r w:rsidRPr="00DA5D4D">
        <w:rPr>
          <w:bCs/>
          <w:i/>
          <w:lang w:val="en-US"/>
        </w:rPr>
        <w:t>Gestão</w:t>
      </w:r>
      <w:proofErr w:type="spellEnd"/>
      <w:r w:rsidRPr="00DA5D4D">
        <w:rPr>
          <w:bCs/>
          <w:i/>
          <w:lang w:val="en-US"/>
        </w:rPr>
        <w:t xml:space="preserve"> &amp; </w:t>
      </w:r>
      <w:proofErr w:type="spellStart"/>
      <w:r w:rsidRPr="00DA5D4D">
        <w:rPr>
          <w:bCs/>
          <w:i/>
          <w:lang w:val="en-US"/>
        </w:rPr>
        <w:t>Produção</w:t>
      </w:r>
      <w:proofErr w:type="spellEnd"/>
      <w:r w:rsidRPr="00DA5D4D">
        <w:rPr>
          <w:bCs/>
          <w:lang w:val="en-US"/>
        </w:rPr>
        <w:t>, São Carlos</w:t>
      </w:r>
      <w:r w:rsidRPr="00DA5D4D">
        <w:rPr>
          <w:lang w:val="en-US"/>
        </w:rPr>
        <w:t xml:space="preserve">, v. 22, n. 3, p. 508-524, 2015. </w:t>
      </w:r>
    </w:p>
    <w:p w14:paraId="53ECA5C5" w14:textId="77777777" w:rsidR="00DA5D4D" w:rsidRPr="00DA5D4D" w:rsidRDefault="00DA5D4D" w:rsidP="00DA5D4D">
      <w:pPr>
        <w:spacing w:after="120"/>
        <w:rPr>
          <w:lang w:val="en-US"/>
        </w:rPr>
      </w:pPr>
      <w:r w:rsidRPr="00DA5D4D">
        <w:rPr>
          <w:lang w:val="en-US"/>
        </w:rPr>
        <w:t>REZAEI, J.; VAN ROEKEL, W. S.; TAVASSZY, L. Measuring the relative importance of the logistics performance index indicators using Best Worst Method. </w:t>
      </w:r>
      <w:r w:rsidRPr="00DA5D4D">
        <w:rPr>
          <w:bCs/>
          <w:i/>
          <w:lang w:val="en-US"/>
        </w:rPr>
        <w:t>Transport Policy</w:t>
      </w:r>
      <w:r w:rsidRPr="00DA5D4D">
        <w:rPr>
          <w:lang w:val="en-US"/>
        </w:rPr>
        <w:t xml:space="preserve">, v. 68, p. 158-169, 2018. </w:t>
      </w:r>
    </w:p>
    <w:p w14:paraId="38A04C83" w14:textId="77777777" w:rsidR="00DA5D4D" w:rsidRPr="00DA5D4D" w:rsidRDefault="00DA5D4D" w:rsidP="00DA5D4D">
      <w:pPr>
        <w:spacing w:after="120"/>
        <w:rPr>
          <w:lang w:val="en-US"/>
        </w:rPr>
      </w:pPr>
      <w:proofErr w:type="gramStart"/>
      <w:r w:rsidRPr="00DA5D4D">
        <w:rPr>
          <w:lang w:val="en-US"/>
        </w:rPr>
        <w:t>SUN, Y., LU, Q., PENG, X., GOH, M., DE SOUZA, R.</w:t>
      </w:r>
      <w:proofErr w:type="gramEnd"/>
      <w:r w:rsidRPr="00DA5D4D">
        <w:rPr>
          <w:lang w:val="en-US"/>
        </w:rPr>
        <w:t xml:space="preserve"> The role of logistics capabilities in promoting air cargo flows. In</w:t>
      </w:r>
      <w:r w:rsidRPr="00DA5D4D">
        <w:rPr>
          <w:i/>
          <w:lang w:val="en-US"/>
        </w:rPr>
        <w:t>: </w:t>
      </w:r>
      <w:r w:rsidRPr="00DA5D4D">
        <w:rPr>
          <w:bCs/>
          <w:i/>
          <w:lang w:val="en-US"/>
        </w:rPr>
        <w:t>Information Science and Engineering (ICISE), 2010 2nd International Conference on</w:t>
      </w:r>
      <w:r w:rsidRPr="00DA5D4D">
        <w:rPr>
          <w:lang w:val="en-US"/>
        </w:rPr>
        <w:t xml:space="preserve">. </w:t>
      </w:r>
      <w:proofErr w:type="gramStart"/>
      <w:r w:rsidRPr="00DA5D4D">
        <w:rPr>
          <w:lang w:val="en-US"/>
        </w:rPr>
        <w:t>IEEE, 2010.</w:t>
      </w:r>
      <w:proofErr w:type="gramEnd"/>
      <w:r w:rsidRPr="00DA5D4D">
        <w:rPr>
          <w:lang w:val="en-US"/>
        </w:rPr>
        <w:t xml:space="preserve"> p. 784-787.</w:t>
      </w:r>
    </w:p>
    <w:p w14:paraId="78A3FE2D" w14:textId="77777777" w:rsidR="00DA5D4D" w:rsidRPr="00DA5D4D" w:rsidRDefault="00DA5D4D" w:rsidP="00DA5D4D">
      <w:pPr>
        <w:spacing w:after="120"/>
        <w:rPr>
          <w:b/>
          <w:lang w:val="en-US"/>
        </w:rPr>
      </w:pPr>
      <w:proofErr w:type="gramStart"/>
      <w:r w:rsidRPr="00DA5D4D">
        <w:rPr>
          <w:lang w:val="en-US"/>
        </w:rPr>
        <w:t>YU, M. M.; HSIAO, B. Measuring the technology gap and logistics performance of individual countries by using a meta-DEA–AR model.</w:t>
      </w:r>
      <w:proofErr w:type="gramEnd"/>
      <w:r w:rsidRPr="00DA5D4D">
        <w:rPr>
          <w:lang w:val="en-US"/>
        </w:rPr>
        <w:t> </w:t>
      </w:r>
      <w:proofErr w:type="gramStart"/>
      <w:r w:rsidRPr="00DA5D4D">
        <w:rPr>
          <w:bCs/>
          <w:i/>
          <w:lang w:val="en-US"/>
        </w:rPr>
        <w:t>Maritime Policy &amp; Management</w:t>
      </w:r>
      <w:r w:rsidRPr="00DA5D4D">
        <w:rPr>
          <w:lang w:val="en-US"/>
        </w:rPr>
        <w:t>, v. 43, n. 1, p. 98-120, 2016.</w:t>
      </w:r>
      <w:proofErr w:type="gramEnd"/>
      <w:r w:rsidRPr="00DA5D4D">
        <w:rPr>
          <w:lang w:val="en-US"/>
        </w:rPr>
        <w:t xml:space="preserve"> </w:t>
      </w:r>
    </w:p>
    <w:p w14:paraId="465AF437" w14:textId="77777777" w:rsidR="00DA5D4D" w:rsidRPr="00DA5D4D" w:rsidRDefault="00DA5D4D" w:rsidP="00DA5D4D">
      <w:pPr>
        <w:spacing w:after="120"/>
        <w:rPr>
          <w:lang w:val="en-US"/>
        </w:rPr>
      </w:pPr>
      <w:r w:rsidRPr="00DA5D4D">
        <w:rPr>
          <w:lang w:val="en-US"/>
        </w:rPr>
        <w:t>WANG, D. F., DONG, Q. L., PENG, Z. M., KHAN, S. A. R., TARASOV, A. The Green Logistics Impact on International Trade: Evidence from Developed and Developing Countries. </w:t>
      </w:r>
      <w:proofErr w:type="gramStart"/>
      <w:r w:rsidRPr="00DA5D4D">
        <w:rPr>
          <w:bCs/>
          <w:i/>
          <w:lang w:val="en-US"/>
        </w:rPr>
        <w:t>Sustainability</w:t>
      </w:r>
      <w:r w:rsidRPr="00DA5D4D">
        <w:rPr>
          <w:b/>
          <w:bCs/>
          <w:lang w:val="en-US"/>
        </w:rPr>
        <w:t xml:space="preserve">, </w:t>
      </w:r>
      <w:r w:rsidRPr="00DA5D4D">
        <w:rPr>
          <w:lang w:val="en-US"/>
        </w:rPr>
        <w:t>v. 10, n. 7, 2018.</w:t>
      </w:r>
      <w:proofErr w:type="gramEnd"/>
      <w:r w:rsidRPr="00DA5D4D">
        <w:rPr>
          <w:lang w:val="en-US"/>
        </w:rPr>
        <w:t xml:space="preserve"> </w:t>
      </w:r>
    </w:p>
    <w:p w14:paraId="2A57C32A" w14:textId="77777777" w:rsidR="00DA5D4D" w:rsidRPr="00DA5D4D" w:rsidRDefault="00DA5D4D" w:rsidP="00DA5D4D">
      <w:pPr>
        <w:spacing w:after="120"/>
        <w:rPr>
          <w:lang w:val="en-US"/>
        </w:rPr>
      </w:pPr>
      <w:proofErr w:type="gramStart"/>
      <w:r w:rsidRPr="00DA5D4D">
        <w:rPr>
          <w:lang w:val="en-US"/>
        </w:rPr>
        <w:t>WORLD TRADE ORGANIZATION (WTO).</w:t>
      </w:r>
      <w:proofErr w:type="gramEnd"/>
      <w:r w:rsidRPr="00DA5D4D">
        <w:rPr>
          <w:lang w:val="en-US"/>
        </w:rPr>
        <w:t xml:space="preserve"> </w:t>
      </w:r>
      <w:proofErr w:type="gramStart"/>
      <w:r w:rsidRPr="00DA5D4D">
        <w:rPr>
          <w:lang w:val="en-US"/>
        </w:rPr>
        <w:t>Brazil and the WTO.</w:t>
      </w:r>
      <w:proofErr w:type="gramEnd"/>
      <w:r w:rsidRPr="00DA5D4D">
        <w:rPr>
          <w:lang w:val="en-US"/>
        </w:rPr>
        <w:t xml:space="preserve"> </w:t>
      </w:r>
      <w:r w:rsidRPr="00DA5D4D">
        <w:t xml:space="preserve">Disponível em: &lt; </w:t>
      </w:r>
      <w:hyperlink r:id="rId24" w:history="1">
        <w:r w:rsidRPr="00DA5D4D">
          <w:rPr>
            <w:rStyle w:val="Hyperlink"/>
            <w:color w:val="auto"/>
          </w:rPr>
          <w:t>https://www.wto.org/english/thewto_e/countries_e/brazil_e.htm</w:t>
        </w:r>
      </w:hyperlink>
      <w:r w:rsidRPr="00DA5D4D">
        <w:t xml:space="preserve">&gt;. </w:t>
      </w:r>
      <w:proofErr w:type="spellStart"/>
      <w:proofErr w:type="gramStart"/>
      <w:r w:rsidRPr="00DA5D4D">
        <w:rPr>
          <w:lang w:val="en-US"/>
        </w:rPr>
        <w:t>Acesso</w:t>
      </w:r>
      <w:proofErr w:type="spellEnd"/>
      <w:r w:rsidRPr="00DA5D4D">
        <w:rPr>
          <w:lang w:val="en-US"/>
        </w:rPr>
        <w:t xml:space="preserve"> </w:t>
      </w:r>
      <w:proofErr w:type="spellStart"/>
      <w:r w:rsidRPr="00DA5D4D">
        <w:rPr>
          <w:lang w:val="en-US"/>
        </w:rPr>
        <w:t>em</w:t>
      </w:r>
      <w:proofErr w:type="spellEnd"/>
      <w:r w:rsidRPr="00DA5D4D">
        <w:rPr>
          <w:lang w:val="en-US"/>
        </w:rPr>
        <w:t xml:space="preserve"> 20 de </w:t>
      </w:r>
      <w:proofErr w:type="spellStart"/>
      <w:r w:rsidRPr="00DA5D4D">
        <w:rPr>
          <w:lang w:val="en-US"/>
        </w:rPr>
        <w:t>setembro</w:t>
      </w:r>
      <w:proofErr w:type="spellEnd"/>
      <w:r w:rsidRPr="00DA5D4D">
        <w:rPr>
          <w:lang w:val="en-US"/>
        </w:rPr>
        <w:t xml:space="preserve"> de 2018.</w:t>
      </w:r>
      <w:proofErr w:type="gramEnd"/>
      <w:r w:rsidRPr="00DA5D4D">
        <w:rPr>
          <w:lang w:val="en-US"/>
        </w:rPr>
        <w:t xml:space="preserve"> </w:t>
      </w:r>
    </w:p>
    <w:p w14:paraId="6A1CF595" w14:textId="160446B0" w:rsidR="00DA5D4D" w:rsidRDefault="00DA5D4D" w:rsidP="00DA5D4D">
      <w:pPr>
        <w:spacing w:after="120"/>
        <w:rPr>
          <w:lang w:val="en-US"/>
        </w:rPr>
      </w:pPr>
      <w:r>
        <w:rPr>
          <w:lang w:val="en-US"/>
        </w:rPr>
        <w:t>ZAMAN, K.; SHAMSUDDIN, S</w:t>
      </w:r>
      <w:r w:rsidRPr="00DA5D4D">
        <w:rPr>
          <w:lang w:val="en-US"/>
        </w:rPr>
        <w:t>. Green logistics and national scale economic indicators: Evidence from a panel of selected European countries. </w:t>
      </w:r>
      <w:proofErr w:type="gramStart"/>
      <w:r>
        <w:rPr>
          <w:i/>
          <w:lang w:val="en-US"/>
        </w:rPr>
        <w:t>Journal of Cleaner P</w:t>
      </w:r>
      <w:r w:rsidRPr="00DA5D4D">
        <w:rPr>
          <w:i/>
          <w:lang w:val="en-US"/>
        </w:rPr>
        <w:t>roduction</w:t>
      </w:r>
      <w:r w:rsidR="000261B1">
        <w:rPr>
          <w:lang w:val="en-US"/>
        </w:rPr>
        <w:t>, v. 143, p. 51-63, 2017</w:t>
      </w:r>
      <w:r w:rsidRPr="00DA5D4D">
        <w:rPr>
          <w:lang w:val="en-US"/>
        </w:rPr>
        <w:t>.</w:t>
      </w:r>
      <w:proofErr w:type="gramEnd"/>
    </w:p>
    <w:p w14:paraId="1AFD7E26" w14:textId="77777777" w:rsidR="000261B1" w:rsidRDefault="000261B1" w:rsidP="00DA5D4D">
      <w:pPr>
        <w:spacing w:after="120"/>
        <w:rPr>
          <w:lang w:val="en-US"/>
        </w:rPr>
      </w:pPr>
    </w:p>
    <w:p w14:paraId="420AB214" w14:textId="78392226" w:rsidR="000261B1" w:rsidRDefault="000261B1" w:rsidP="000261B1">
      <w:pPr>
        <w:spacing w:after="120" w:line="360" w:lineRule="auto"/>
        <w:jc w:val="center"/>
        <w:sectPr w:rsidR="000261B1" w:rsidSect="00A204C7">
          <w:type w:val="continuous"/>
          <w:pgSz w:w="11907" w:h="16839" w:code="9"/>
          <w:pgMar w:top="1418" w:right="1418" w:bottom="1418" w:left="1418" w:header="709" w:footer="709" w:gutter="0"/>
          <w:cols w:space="454"/>
          <w:titlePg/>
          <w:docGrid w:linePitch="326"/>
        </w:sectPr>
      </w:pPr>
      <w:r>
        <w:t>_</w:t>
      </w:r>
      <w:r w:rsidRPr="00A204C7">
        <w:t>____________________________________________</w:t>
      </w:r>
      <w:r>
        <w:t>______________________________</w:t>
      </w:r>
    </w:p>
    <w:p w14:paraId="41059328" w14:textId="77777777" w:rsidR="000261B1" w:rsidRDefault="000261B1" w:rsidP="00DA5D4D">
      <w:pPr>
        <w:spacing w:after="120" w:line="360" w:lineRule="auto"/>
        <w:jc w:val="both"/>
        <w:rPr>
          <w:rStyle w:val="TtulodoLivro"/>
        </w:rPr>
      </w:pPr>
      <w:r>
        <w:rPr>
          <w:rStyle w:val="TtulodoLivro"/>
        </w:rPr>
        <w:lastRenderedPageBreak/>
        <w:br w:type="page"/>
      </w:r>
    </w:p>
    <w:p w14:paraId="62B55A28" w14:textId="77777777" w:rsidR="000261B1" w:rsidRDefault="000261B1" w:rsidP="00DA5D4D">
      <w:pPr>
        <w:spacing w:after="120" w:line="360" w:lineRule="auto"/>
        <w:jc w:val="both"/>
        <w:rPr>
          <w:rStyle w:val="TtulodoLivro"/>
        </w:rPr>
        <w:sectPr w:rsidR="000261B1" w:rsidSect="00A204C7">
          <w:headerReference w:type="even" r:id="rId25"/>
          <w:headerReference w:type="default" r:id="rId26"/>
          <w:type w:val="continuous"/>
          <w:pgSz w:w="11907" w:h="16839" w:code="9"/>
          <w:pgMar w:top="1418" w:right="1418" w:bottom="1418" w:left="1418" w:header="709" w:footer="709" w:gutter="0"/>
          <w:cols w:space="454"/>
          <w:titlePg/>
          <w:docGrid w:linePitch="326"/>
        </w:sectPr>
      </w:pPr>
    </w:p>
    <w:p w14:paraId="25E4BD26" w14:textId="63DEC1FE" w:rsidR="00C8627B" w:rsidRPr="00C8627B" w:rsidRDefault="00C8627B" w:rsidP="00C8627B">
      <w:pPr>
        <w:spacing w:after="120" w:line="360" w:lineRule="auto"/>
        <w:jc w:val="both"/>
        <w:rPr>
          <w:b/>
          <w:bCs/>
          <w:smallCaps/>
          <w:spacing w:val="5"/>
        </w:rPr>
      </w:pPr>
      <w:r>
        <w:rPr>
          <w:rStyle w:val="TtulodoLivro"/>
        </w:rPr>
        <w:lastRenderedPageBreak/>
        <w:t>Apêndice</w:t>
      </w:r>
    </w:p>
    <w:tbl>
      <w:tblPr>
        <w:tblpPr w:leftFromText="141" w:rightFromText="141" w:vertAnchor="page" w:horzAnchor="margin" w:tblpY="3461"/>
        <w:tblW w:w="10693" w:type="dxa"/>
        <w:tblCellMar>
          <w:left w:w="70" w:type="dxa"/>
          <w:right w:w="70" w:type="dxa"/>
        </w:tblCellMar>
        <w:tblLook w:val="04A0" w:firstRow="1" w:lastRow="0" w:firstColumn="1" w:lastColumn="0" w:noHBand="0" w:noVBand="1"/>
      </w:tblPr>
      <w:tblGrid>
        <w:gridCol w:w="873"/>
        <w:gridCol w:w="1182"/>
        <w:gridCol w:w="1618"/>
        <w:gridCol w:w="1346"/>
        <w:gridCol w:w="1346"/>
        <w:gridCol w:w="1564"/>
        <w:gridCol w:w="1473"/>
        <w:gridCol w:w="1291"/>
      </w:tblGrid>
      <w:tr w:rsidR="00C8627B" w:rsidRPr="00C8627B" w14:paraId="45E47ABA" w14:textId="77777777" w:rsidTr="00C8627B">
        <w:trPr>
          <w:trHeight w:val="406"/>
        </w:trPr>
        <w:tc>
          <w:tcPr>
            <w:tcW w:w="873" w:type="dxa"/>
            <w:tcBorders>
              <w:top w:val="nil"/>
              <w:left w:val="nil"/>
              <w:bottom w:val="double" w:sz="6" w:space="0" w:color="auto"/>
              <w:right w:val="nil"/>
            </w:tcBorders>
            <w:shd w:val="clear" w:color="auto" w:fill="auto"/>
            <w:noWrap/>
            <w:vAlign w:val="bottom"/>
            <w:hideMark/>
          </w:tcPr>
          <w:p w14:paraId="6B9C398D" w14:textId="77777777" w:rsidR="00C8627B" w:rsidRPr="00C8627B" w:rsidRDefault="00C8627B" w:rsidP="00C8627B">
            <w:pPr>
              <w:jc w:val="center"/>
              <w:rPr>
                <w:color w:val="000000"/>
                <w:sz w:val="18"/>
                <w:szCs w:val="18"/>
                <w:lang w:eastAsia="pt-BR"/>
              </w:rPr>
            </w:pPr>
            <w:r w:rsidRPr="00C8627B">
              <w:rPr>
                <w:color w:val="000000"/>
                <w:sz w:val="18"/>
                <w:szCs w:val="18"/>
                <w:lang w:eastAsia="pt-BR"/>
              </w:rPr>
              <w:t> </w:t>
            </w:r>
          </w:p>
        </w:tc>
        <w:tc>
          <w:tcPr>
            <w:tcW w:w="1182" w:type="dxa"/>
            <w:tcBorders>
              <w:top w:val="single" w:sz="8" w:space="0" w:color="EBEBEB"/>
              <w:left w:val="nil"/>
              <w:bottom w:val="double" w:sz="6" w:space="0" w:color="auto"/>
              <w:right w:val="nil"/>
            </w:tcBorders>
            <w:shd w:val="clear" w:color="auto" w:fill="auto"/>
            <w:vAlign w:val="center"/>
            <w:hideMark/>
          </w:tcPr>
          <w:p w14:paraId="6358BEF8" w14:textId="77777777" w:rsidR="00C8627B" w:rsidRPr="00C8627B" w:rsidRDefault="00C8627B" w:rsidP="00C8627B">
            <w:pPr>
              <w:jc w:val="center"/>
              <w:rPr>
                <w:b/>
                <w:bCs/>
                <w:color w:val="505050"/>
                <w:sz w:val="18"/>
                <w:szCs w:val="18"/>
                <w:lang w:eastAsia="pt-BR"/>
              </w:rPr>
            </w:pPr>
            <w:r w:rsidRPr="00C8627B">
              <w:rPr>
                <w:b/>
                <w:bCs/>
                <w:color w:val="505050"/>
                <w:sz w:val="18"/>
                <w:szCs w:val="18"/>
                <w:lang w:eastAsia="pt-BR"/>
              </w:rPr>
              <w:t>Alfândega</w:t>
            </w:r>
          </w:p>
        </w:tc>
        <w:tc>
          <w:tcPr>
            <w:tcW w:w="1618" w:type="dxa"/>
            <w:tcBorders>
              <w:top w:val="nil"/>
              <w:left w:val="nil"/>
              <w:bottom w:val="double" w:sz="6" w:space="0" w:color="auto"/>
              <w:right w:val="nil"/>
            </w:tcBorders>
            <w:shd w:val="clear" w:color="auto" w:fill="auto"/>
            <w:vAlign w:val="center"/>
            <w:hideMark/>
          </w:tcPr>
          <w:p w14:paraId="5EA32DE6" w14:textId="77777777" w:rsidR="00C8627B" w:rsidRPr="00C8627B" w:rsidRDefault="00C8627B" w:rsidP="00C8627B">
            <w:pPr>
              <w:jc w:val="center"/>
              <w:rPr>
                <w:b/>
                <w:bCs/>
                <w:color w:val="505050"/>
                <w:sz w:val="18"/>
                <w:szCs w:val="18"/>
                <w:lang w:eastAsia="pt-BR"/>
              </w:rPr>
            </w:pPr>
            <w:r w:rsidRPr="00C8627B">
              <w:rPr>
                <w:b/>
                <w:bCs/>
                <w:color w:val="505050"/>
                <w:sz w:val="18"/>
                <w:szCs w:val="18"/>
                <w:lang w:eastAsia="pt-BR"/>
              </w:rPr>
              <w:t>Infraestrutura</w:t>
            </w:r>
          </w:p>
        </w:tc>
        <w:tc>
          <w:tcPr>
            <w:tcW w:w="1346" w:type="dxa"/>
            <w:tcBorders>
              <w:top w:val="nil"/>
              <w:left w:val="nil"/>
              <w:bottom w:val="double" w:sz="6" w:space="0" w:color="auto"/>
              <w:right w:val="nil"/>
            </w:tcBorders>
            <w:shd w:val="clear" w:color="auto" w:fill="auto"/>
            <w:vAlign w:val="center"/>
            <w:hideMark/>
          </w:tcPr>
          <w:p w14:paraId="3524A96C" w14:textId="77777777" w:rsidR="00C8627B" w:rsidRPr="00C8627B" w:rsidRDefault="00C8627B" w:rsidP="00C8627B">
            <w:pPr>
              <w:jc w:val="center"/>
              <w:rPr>
                <w:b/>
                <w:bCs/>
                <w:color w:val="505050"/>
                <w:sz w:val="18"/>
                <w:szCs w:val="18"/>
                <w:lang w:eastAsia="pt-BR"/>
              </w:rPr>
            </w:pPr>
            <w:r w:rsidRPr="00C8627B">
              <w:rPr>
                <w:b/>
                <w:bCs/>
                <w:color w:val="505050"/>
                <w:sz w:val="18"/>
                <w:szCs w:val="18"/>
                <w:lang w:eastAsia="pt-BR"/>
              </w:rPr>
              <w:t>Expedição internacional</w:t>
            </w:r>
          </w:p>
        </w:tc>
        <w:tc>
          <w:tcPr>
            <w:tcW w:w="1346" w:type="dxa"/>
            <w:tcBorders>
              <w:top w:val="nil"/>
              <w:left w:val="nil"/>
              <w:bottom w:val="double" w:sz="6" w:space="0" w:color="auto"/>
              <w:right w:val="nil"/>
            </w:tcBorders>
            <w:shd w:val="clear" w:color="auto" w:fill="auto"/>
            <w:vAlign w:val="center"/>
            <w:hideMark/>
          </w:tcPr>
          <w:p w14:paraId="5A84580B" w14:textId="77777777" w:rsidR="00C8627B" w:rsidRPr="00C8627B" w:rsidRDefault="00C8627B" w:rsidP="00C8627B">
            <w:pPr>
              <w:jc w:val="center"/>
              <w:rPr>
                <w:b/>
                <w:bCs/>
                <w:color w:val="505050"/>
                <w:sz w:val="18"/>
                <w:szCs w:val="18"/>
                <w:lang w:eastAsia="pt-BR"/>
              </w:rPr>
            </w:pPr>
            <w:r w:rsidRPr="00C8627B">
              <w:rPr>
                <w:b/>
                <w:bCs/>
                <w:color w:val="505050"/>
                <w:sz w:val="18"/>
                <w:szCs w:val="18"/>
                <w:lang w:eastAsia="pt-BR"/>
              </w:rPr>
              <w:t>Qualidade Serviços</w:t>
            </w:r>
          </w:p>
        </w:tc>
        <w:tc>
          <w:tcPr>
            <w:tcW w:w="1564" w:type="dxa"/>
            <w:tcBorders>
              <w:top w:val="nil"/>
              <w:left w:val="nil"/>
              <w:bottom w:val="double" w:sz="6" w:space="0" w:color="auto"/>
              <w:right w:val="nil"/>
            </w:tcBorders>
            <w:shd w:val="clear" w:color="auto" w:fill="auto"/>
            <w:vAlign w:val="center"/>
            <w:hideMark/>
          </w:tcPr>
          <w:p w14:paraId="22328699" w14:textId="77777777" w:rsidR="00C8627B" w:rsidRPr="00C8627B" w:rsidRDefault="00C8627B" w:rsidP="00C8627B">
            <w:pPr>
              <w:jc w:val="center"/>
              <w:rPr>
                <w:b/>
                <w:bCs/>
                <w:color w:val="505050"/>
                <w:sz w:val="18"/>
                <w:szCs w:val="18"/>
                <w:lang w:eastAsia="pt-BR"/>
              </w:rPr>
            </w:pPr>
            <w:r w:rsidRPr="00C8627B">
              <w:rPr>
                <w:b/>
                <w:bCs/>
                <w:color w:val="505050"/>
                <w:sz w:val="18"/>
                <w:szCs w:val="18"/>
                <w:lang w:eastAsia="pt-BR"/>
              </w:rPr>
              <w:t>Rastreio e Monitoramento</w:t>
            </w:r>
          </w:p>
        </w:tc>
        <w:tc>
          <w:tcPr>
            <w:tcW w:w="1473" w:type="dxa"/>
            <w:tcBorders>
              <w:top w:val="nil"/>
              <w:left w:val="nil"/>
              <w:bottom w:val="double" w:sz="6" w:space="0" w:color="auto"/>
              <w:right w:val="nil"/>
            </w:tcBorders>
            <w:shd w:val="clear" w:color="auto" w:fill="auto"/>
            <w:vAlign w:val="center"/>
            <w:hideMark/>
          </w:tcPr>
          <w:p w14:paraId="076264F1" w14:textId="77777777" w:rsidR="00C8627B" w:rsidRPr="00C8627B" w:rsidRDefault="00C8627B" w:rsidP="00C8627B">
            <w:pPr>
              <w:jc w:val="center"/>
              <w:rPr>
                <w:b/>
                <w:bCs/>
                <w:color w:val="505050"/>
                <w:sz w:val="18"/>
                <w:szCs w:val="18"/>
                <w:lang w:eastAsia="pt-BR"/>
              </w:rPr>
            </w:pPr>
            <w:r w:rsidRPr="00C8627B">
              <w:rPr>
                <w:b/>
                <w:bCs/>
                <w:color w:val="505050"/>
                <w:sz w:val="18"/>
                <w:szCs w:val="18"/>
                <w:lang w:eastAsia="pt-BR"/>
              </w:rPr>
              <w:t>Pontualidade</w:t>
            </w:r>
          </w:p>
        </w:tc>
        <w:tc>
          <w:tcPr>
            <w:tcW w:w="1291" w:type="dxa"/>
            <w:tcBorders>
              <w:top w:val="nil"/>
              <w:left w:val="nil"/>
              <w:bottom w:val="double" w:sz="6" w:space="0" w:color="auto"/>
              <w:right w:val="nil"/>
            </w:tcBorders>
            <w:shd w:val="clear" w:color="auto" w:fill="auto"/>
            <w:noWrap/>
            <w:hideMark/>
          </w:tcPr>
          <w:p w14:paraId="64C71E5B" w14:textId="77777777" w:rsidR="00C8627B" w:rsidRPr="00C8627B" w:rsidRDefault="00C8627B" w:rsidP="00C8627B">
            <w:pPr>
              <w:jc w:val="center"/>
              <w:rPr>
                <w:color w:val="000000"/>
                <w:sz w:val="18"/>
                <w:szCs w:val="18"/>
                <w:lang w:eastAsia="pt-BR"/>
              </w:rPr>
            </w:pPr>
            <w:r w:rsidRPr="00C8627B">
              <w:rPr>
                <w:color w:val="000000"/>
                <w:sz w:val="18"/>
                <w:szCs w:val="18"/>
                <w:lang w:eastAsia="pt-BR"/>
              </w:rPr>
              <w:t>Global</w:t>
            </w:r>
          </w:p>
        </w:tc>
      </w:tr>
      <w:tr w:rsidR="00C8627B" w:rsidRPr="00C8627B" w14:paraId="16C52E2A" w14:textId="77777777" w:rsidTr="00C8627B">
        <w:trPr>
          <w:trHeight w:val="244"/>
        </w:trPr>
        <w:tc>
          <w:tcPr>
            <w:tcW w:w="873" w:type="dxa"/>
            <w:tcBorders>
              <w:top w:val="nil"/>
              <w:left w:val="nil"/>
              <w:bottom w:val="nil"/>
              <w:right w:val="nil"/>
            </w:tcBorders>
            <w:shd w:val="clear" w:color="000000" w:fill="F2F2F2"/>
            <w:noWrap/>
            <w:vAlign w:val="bottom"/>
            <w:hideMark/>
          </w:tcPr>
          <w:p w14:paraId="6944FA19" w14:textId="77777777" w:rsidR="00C8627B" w:rsidRPr="00C8627B" w:rsidRDefault="00C8627B" w:rsidP="00C8627B">
            <w:pPr>
              <w:jc w:val="center"/>
              <w:rPr>
                <w:b/>
                <w:bCs/>
                <w:color w:val="000000"/>
                <w:sz w:val="18"/>
                <w:szCs w:val="18"/>
                <w:lang w:eastAsia="pt-BR"/>
              </w:rPr>
            </w:pPr>
            <w:r w:rsidRPr="00C8627B">
              <w:rPr>
                <w:b/>
                <w:bCs/>
                <w:color w:val="000000"/>
                <w:sz w:val="18"/>
                <w:szCs w:val="18"/>
                <w:lang w:eastAsia="pt-BR"/>
              </w:rPr>
              <w:t>LPI</w:t>
            </w:r>
          </w:p>
        </w:tc>
        <w:tc>
          <w:tcPr>
            <w:tcW w:w="1182" w:type="dxa"/>
            <w:tcBorders>
              <w:top w:val="nil"/>
              <w:left w:val="nil"/>
              <w:bottom w:val="nil"/>
              <w:right w:val="nil"/>
            </w:tcBorders>
            <w:shd w:val="clear" w:color="000000" w:fill="F2F2F2"/>
            <w:vAlign w:val="center"/>
            <w:hideMark/>
          </w:tcPr>
          <w:p w14:paraId="163B8AB2" w14:textId="77777777" w:rsidR="00C8627B" w:rsidRPr="00C8627B" w:rsidRDefault="00C8627B" w:rsidP="00C8627B">
            <w:pPr>
              <w:jc w:val="right"/>
              <w:rPr>
                <w:b/>
                <w:bCs/>
                <w:color w:val="505050"/>
                <w:sz w:val="18"/>
                <w:szCs w:val="18"/>
                <w:lang w:eastAsia="pt-BR"/>
              </w:rPr>
            </w:pPr>
            <w:r w:rsidRPr="00C8627B">
              <w:rPr>
                <w:b/>
                <w:bCs/>
                <w:color w:val="505050"/>
                <w:sz w:val="18"/>
                <w:szCs w:val="18"/>
                <w:lang w:eastAsia="pt-BR"/>
              </w:rPr>
              <w:t>0,40</w:t>
            </w:r>
          </w:p>
        </w:tc>
        <w:tc>
          <w:tcPr>
            <w:tcW w:w="1618" w:type="dxa"/>
            <w:tcBorders>
              <w:top w:val="nil"/>
              <w:left w:val="nil"/>
              <w:bottom w:val="nil"/>
              <w:right w:val="nil"/>
            </w:tcBorders>
            <w:shd w:val="clear" w:color="000000" w:fill="F2F2F2"/>
            <w:vAlign w:val="center"/>
            <w:hideMark/>
          </w:tcPr>
          <w:p w14:paraId="05447A93" w14:textId="77777777" w:rsidR="00C8627B" w:rsidRPr="00C8627B" w:rsidRDefault="00C8627B" w:rsidP="00C8627B">
            <w:pPr>
              <w:jc w:val="right"/>
              <w:rPr>
                <w:b/>
                <w:bCs/>
                <w:color w:val="505050"/>
                <w:sz w:val="18"/>
                <w:szCs w:val="18"/>
                <w:lang w:eastAsia="pt-BR"/>
              </w:rPr>
            </w:pPr>
            <w:r w:rsidRPr="00C8627B">
              <w:rPr>
                <w:b/>
                <w:bCs/>
                <w:color w:val="505050"/>
                <w:sz w:val="18"/>
                <w:szCs w:val="18"/>
                <w:lang w:eastAsia="pt-BR"/>
              </w:rPr>
              <w:t>0,42</w:t>
            </w:r>
          </w:p>
        </w:tc>
        <w:tc>
          <w:tcPr>
            <w:tcW w:w="1346" w:type="dxa"/>
            <w:tcBorders>
              <w:top w:val="nil"/>
              <w:left w:val="nil"/>
              <w:bottom w:val="nil"/>
              <w:right w:val="nil"/>
            </w:tcBorders>
            <w:shd w:val="clear" w:color="000000" w:fill="F2F2F2"/>
            <w:vAlign w:val="center"/>
            <w:hideMark/>
          </w:tcPr>
          <w:p w14:paraId="2F1F1DD0" w14:textId="77777777" w:rsidR="00C8627B" w:rsidRPr="00C8627B" w:rsidRDefault="00C8627B" w:rsidP="00C8627B">
            <w:pPr>
              <w:jc w:val="right"/>
              <w:rPr>
                <w:b/>
                <w:bCs/>
                <w:color w:val="505050"/>
                <w:sz w:val="18"/>
                <w:szCs w:val="18"/>
                <w:lang w:eastAsia="pt-BR"/>
              </w:rPr>
            </w:pPr>
            <w:r w:rsidRPr="00C8627B">
              <w:rPr>
                <w:b/>
                <w:bCs/>
                <w:color w:val="505050"/>
                <w:sz w:val="18"/>
                <w:szCs w:val="18"/>
                <w:lang w:eastAsia="pt-BR"/>
              </w:rPr>
              <w:t>0,40</w:t>
            </w:r>
          </w:p>
        </w:tc>
        <w:tc>
          <w:tcPr>
            <w:tcW w:w="1346" w:type="dxa"/>
            <w:tcBorders>
              <w:top w:val="nil"/>
              <w:left w:val="nil"/>
              <w:bottom w:val="nil"/>
              <w:right w:val="nil"/>
            </w:tcBorders>
            <w:shd w:val="clear" w:color="000000" w:fill="F2F2F2"/>
            <w:vAlign w:val="center"/>
            <w:hideMark/>
          </w:tcPr>
          <w:p w14:paraId="57C7882E" w14:textId="77777777" w:rsidR="00C8627B" w:rsidRPr="00C8627B" w:rsidRDefault="00C8627B" w:rsidP="00C8627B">
            <w:pPr>
              <w:jc w:val="right"/>
              <w:rPr>
                <w:b/>
                <w:bCs/>
                <w:color w:val="505050"/>
                <w:sz w:val="18"/>
                <w:szCs w:val="18"/>
                <w:lang w:eastAsia="pt-BR"/>
              </w:rPr>
            </w:pPr>
            <w:r w:rsidRPr="00C8627B">
              <w:rPr>
                <w:b/>
                <w:bCs/>
                <w:color w:val="505050"/>
                <w:sz w:val="18"/>
                <w:szCs w:val="18"/>
                <w:lang w:eastAsia="pt-BR"/>
              </w:rPr>
              <w:t>0,42</w:t>
            </w:r>
          </w:p>
        </w:tc>
        <w:tc>
          <w:tcPr>
            <w:tcW w:w="1564" w:type="dxa"/>
            <w:tcBorders>
              <w:top w:val="nil"/>
              <w:left w:val="nil"/>
              <w:bottom w:val="nil"/>
              <w:right w:val="nil"/>
            </w:tcBorders>
            <w:shd w:val="clear" w:color="000000" w:fill="F2F2F2"/>
            <w:vAlign w:val="center"/>
            <w:hideMark/>
          </w:tcPr>
          <w:p w14:paraId="1CC041D4" w14:textId="77777777" w:rsidR="00C8627B" w:rsidRPr="00C8627B" w:rsidRDefault="00C8627B" w:rsidP="00C8627B">
            <w:pPr>
              <w:jc w:val="right"/>
              <w:rPr>
                <w:b/>
                <w:bCs/>
                <w:color w:val="505050"/>
                <w:sz w:val="18"/>
                <w:szCs w:val="18"/>
                <w:lang w:eastAsia="pt-BR"/>
              </w:rPr>
            </w:pPr>
            <w:r w:rsidRPr="00C8627B">
              <w:rPr>
                <w:b/>
                <w:bCs/>
                <w:color w:val="505050"/>
                <w:sz w:val="18"/>
                <w:szCs w:val="18"/>
                <w:lang w:eastAsia="pt-BR"/>
              </w:rPr>
              <w:t>0,41</w:t>
            </w:r>
          </w:p>
        </w:tc>
        <w:tc>
          <w:tcPr>
            <w:tcW w:w="1473" w:type="dxa"/>
            <w:tcBorders>
              <w:top w:val="nil"/>
              <w:left w:val="nil"/>
              <w:bottom w:val="nil"/>
              <w:right w:val="nil"/>
            </w:tcBorders>
            <w:shd w:val="clear" w:color="000000" w:fill="F2F2F2"/>
            <w:vAlign w:val="center"/>
            <w:hideMark/>
          </w:tcPr>
          <w:p w14:paraId="16AA11D3" w14:textId="77777777" w:rsidR="00C8627B" w:rsidRPr="00C8627B" w:rsidRDefault="00C8627B" w:rsidP="00C8627B">
            <w:pPr>
              <w:jc w:val="right"/>
              <w:rPr>
                <w:b/>
                <w:bCs/>
                <w:color w:val="505050"/>
                <w:sz w:val="18"/>
                <w:szCs w:val="18"/>
                <w:lang w:eastAsia="pt-BR"/>
              </w:rPr>
            </w:pPr>
            <w:r w:rsidRPr="00C8627B">
              <w:rPr>
                <w:b/>
                <w:bCs/>
                <w:color w:val="505050"/>
                <w:sz w:val="18"/>
                <w:szCs w:val="18"/>
                <w:lang w:eastAsia="pt-BR"/>
              </w:rPr>
              <w:t>0,40</w:t>
            </w:r>
          </w:p>
        </w:tc>
        <w:tc>
          <w:tcPr>
            <w:tcW w:w="1291" w:type="dxa"/>
            <w:tcBorders>
              <w:top w:val="nil"/>
              <w:left w:val="nil"/>
              <w:bottom w:val="nil"/>
              <w:right w:val="nil"/>
            </w:tcBorders>
            <w:shd w:val="clear" w:color="000000" w:fill="F2F2F2"/>
            <w:noWrap/>
            <w:vAlign w:val="bottom"/>
            <w:hideMark/>
          </w:tcPr>
          <w:p w14:paraId="157A7AC9" w14:textId="77777777" w:rsidR="00C8627B" w:rsidRPr="00C8627B" w:rsidRDefault="00C8627B" w:rsidP="00C8627B">
            <w:pPr>
              <w:jc w:val="right"/>
              <w:rPr>
                <w:b/>
                <w:bCs/>
                <w:color w:val="000000"/>
                <w:sz w:val="18"/>
                <w:szCs w:val="18"/>
                <w:lang w:eastAsia="pt-BR"/>
              </w:rPr>
            </w:pPr>
            <w:r w:rsidRPr="00C8627B">
              <w:rPr>
                <w:b/>
                <w:bCs/>
                <w:color w:val="000000"/>
                <w:sz w:val="18"/>
                <w:szCs w:val="18"/>
                <w:lang w:eastAsia="pt-BR"/>
              </w:rPr>
              <w:t>2,45</w:t>
            </w:r>
          </w:p>
        </w:tc>
      </w:tr>
      <w:tr w:rsidR="00C8627B" w:rsidRPr="00C8627B" w14:paraId="23839804" w14:textId="77777777" w:rsidTr="00C8627B">
        <w:trPr>
          <w:trHeight w:val="244"/>
        </w:trPr>
        <w:tc>
          <w:tcPr>
            <w:tcW w:w="873" w:type="dxa"/>
            <w:tcBorders>
              <w:top w:val="nil"/>
              <w:left w:val="nil"/>
              <w:bottom w:val="nil"/>
              <w:right w:val="nil"/>
            </w:tcBorders>
            <w:shd w:val="clear" w:color="auto" w:fill="auto"/>
            <w:noWrap/>
            <w:vAlign w:val="bottom"/>
            <w:hideMark/>
          </w:tcPr>
          <w:p w14:paraId="2588BD21" w14:textId="77777777" w:rsidR="00C8627B" w:rsidRPr="00C8627B" w:rsidRDefault="00C8627B" w:rsidP="00C8627B">
            <w:pPr>
              <w:jc w:val="right"/>
              <w:rPr>
                <w:b/>
                <w:bCs/>
                <w:color w:val="000000"/>
                <w:sz w:val="18"/>
                <w:szCs w:val="18"/>
                <w:lang w:eastAsia="pt-BR"/>
              </w:rPr>
            </w:pPr>
          </w:p>
        </w:tc>
        <w:tc>
          <w:tcPr>
            <w:tcW w:w="1182" w:type="dxa"/>
            <w:tcBorders>
              <w:top w:val="nil"/>
              <w:left w:val="nil"/>
              <w:bottom w:val="nil"/>
              <w:right w:val="nil"/>
            </w:tcBorders>
            <w:shd w:val="clear" w:color="auto" w:fill="auto"/>
            <w:noWrap/>
            <w:vAlign w:val="bottom"/>
            <w:hideMark/>
          </w:tcPr>
          <w:p w14:paraId="09CC537D" w14:textId="77777777" w:rsidR="00C8627B" w:rsidRPr="00C8627B" w:rsidRDefault="00C8627B" w:rsidP="00C8627B">
            <w:pPr>
              <w:jc w:val="center"/>
              <w:rPr>
                <w:sz w:val="18"/>
                <w:szCs w:val="18"/>
                <w:lang w:eastAsia="pt-BR"/>
              </w:rPr>
            </w:pPr>
          </w:p>
        </w:tc>
        <w:tc>
          <w:tcPr>
            <w:tcW w:w="1618" w:type="dxa"/>
            <w:tcBorders>
              <w:top w:val="nil"/>
              <w:left w:val="nil"/>
              <w:bottom w:val="nil"/>
              <w:right w:val="nil"/>
            </w:tcBorders>
            <w:shd w:val="clear" w:color="auto" w:fill="auto"/>
            <w:noWrap/>
            <w:vAlign w:val="bottom"/>
            <w:hideMark/>
          </w:tcPr>
          <w:p w14:paraId="7EAB943C" w14:textId="77777777" w:rsidR="00C8627B" w:rsidRPr="00C8627B" w:rsidRDefault="00C8627B" w:rsidP="00C8627B">
            <w:pPr>
              <w:jc w:val="right"/>
              <w:rPr>
                <w:sz w:val="18"/>
                <w:szCs w:val="18"/>
                <w:lang w:eastAsia="pt-BR"/>
              </w:rPr>
            </w:pPr>
          </w:p>
        </w:tc>
        <w:tc>
          <w:tcPr>
            <w:tcW w:w="1346" w:type="dxa"/>
            <w:tcBorders>
              <w:top w:val="nil"/>
              <w:left w:val="nil"/>
              <w:bottom w:val="nil"/>
              <w:right w:val="nil"/>
            </w:tcBorders>
            <w:shd w:val="clear" w:color="auto" w:fill="auto"/>
            <w:noWrap/>
            <w:vAlign w:val="bottom"/>
            <w:hideMark/>
          </w:tcPr>
          <w:p w14:paraId="1762B9FC" w14:textId="77777777" w:rsidR="00C8627B" w:rsidRPr="00C8627B" w:rsidRDefault="00C8627B" w:rsidP="00C8627B">
            <w:pPr>
              <w:jc w:val="right"/>
              <w:rPr>
                <w:sz w:val="18"/>
                <w:szCs w:val="18"/>
                <w:lang w:eastAsia="pt-BR"/>
              </w:rPr>
            </w:pPr>
          </w:p>
        </w:tc>
        <w:tc>
          <w:tcPr>
            <w:tcW w:w="1346" w:type="dxa"/>
            <w:tcBorders>
              <w:top w:val="nil"/>
              <w:left w:val="nil"/>
              <w:bottom w:val="nil"/>
              <w:right w:val="nil"/>
            </w:tcBorders>
            <w:shd w:val="clear" w:color="auto" w:fill="auto"/>
            <w:noWrap/>
            <w:vAlign w:val="bottom"/>
            <w:hideMark/>
          </w:tcPr>
          <w:p w14:paraId="4185B983" w14:textId="77777777" w:rsidR="00C8627B" w:rsidRPr="00C8627B" w:rsidRDefault="00C8627B" w:rsidP="00C8627B">
            <w:pPr>
              <w:jc w:val="right"/>
              <w:rPr>
                <w:sz w:val="18"/>
                <w:szCs w:val="18"/>
                <w:lang w:eastAsia="pt-BR"/>
              </w:rPr>
            </w:pPr>
          </w:p>
        </w:tc>
        <w:tc>
          <w:tcPr>
            <w:tcW w:w="1564" w:type="dxa"/>
            <w:tcBorders>
              <w:top w:val="nil"/>
              <w:left w:val="nil"/>
              <w:bottom w:val="nil"/>
              <w:right w:val="nil"/>
            </w:tcBorders>
            <w:shd w:val="clear" w:color="auto" w:fill="auto"/>
            <w:noWrap/>
            <w:vAlign w:val="bottom"/>
            <w:hideMark/>
          </w:tcPr>
          <w:p w14:paraId="422A9C93" w14:textId="77777777" w:rsidR="00C8627B" w:rsidRPr="00C8627B" w:rsidRDefault="00C8627B" w:rsidP="00C8627B">
            <w:pPr>
              <w:jc w:val="right"/>
              <w:rPr>
                <w:sz w:val="18"/>
                <w:szCs w:val="18"/>
                <w:lang w:eastAsia="pt-BR"/>
              </w:rPr>
            </w:pPr>
          </w:p>
        </w:tc>
        <w:tc>
          <w:tcPr>
            <w:tcW w:w="1473" w:type="dxa"/>
            <w:tcBorders>
              <w:top w:val="nil"/>
              <w:left w:val="nil"/>
              <w:bottom w:val="nil"/>
              <w:right w:val="nil"/>
            </w:tcBorders>
            <w:shd w:val="clear" w:color="auto" w:fill="auto"/>
            <w:noWrap/>
            <w:vAlign w:val="bottom"/>
            <w:hideMark/>
          </w:tcPr>
          <w:p w14:paraId="77C57FE7" w14:textId="77777777" w:rsidR="00C8627B" w:rsidRPr="00C8627B" w:rsidRDefault="00C8627B" w:rsidP="00C8627B">
            <w:pPr>
              <w:jc w:val="right"/>
              <w:rPr>
                <w:sz w:val="18"/>
                <w:szCs w:val="18"/>
                <w:lang w:eastAsia="pt-BR"/>
              </w:rPr>
            </w:pPr>
          </w:p>
        </w:tc>
        <w:tc>
          <w:tcPr>
            <w:tcW w:w="1291" w:type="dxa"/>
            <w:tcBorders>
              <w:top w:val="nil"/>
              <w:left w:val="nil"/>
              <w:bottom w:val="nil"/>
              <w:right w:val="nil"/>
            </w:tcBorders>
            <w:shd w:val="clear" w:color="auto" w:fill="auto"/>
            <w:noWrap/>
            <w:vAlign w:val="bottom"/>
            <w:hideMark/>
          </w:tcPr>
          <w:p w14:paraId="6EC8AC36" w14:textId="77777777" w:rsidR="00C8627B" w:rsidRPr="00C8627B" w:rsidRDefault="00C8627B" w:rsidP="00C8627B">
            <w:pPr>
              <w:jc w:val="right"/>
              <w:rPr>
                <w:sz w:val="18"/>
                <w:szCs w:val="18"/>
                <w:lang w:eastAsia="pt-BR"/>
              </w:rPr>
            </w:pPr>
          </w:p>
        </w:tc>
      </w:tr>
      <w:tr w:rsidR="00C8627B" w:rsidRPr="00C8627B" w14:paraId="0F19D2A4" w14:textId="77777777" w:rsidTr="00C8627B">
        <w:trPr>
          <w:trHeight w:val="232"/>
        </w:trPr>
        <w:tc>
          <w:tcPr>
            <w:tcW w:w="873" w:type="dxa"/>
            <w:tcBorders>
              <w:top w:val="nil"/>
              <w:left w:val="nil"/>
              <w:bottom w:val="single" w:sz="4" w:space="0" w:color="auto"/>
              <w:right w:val="nil"/>
            </w:tcBorders>
            <w:shd w:val="clear" w:color="000000" w:fill="F2F2F2"/>
            <w:noWrap/>
            <w:vAlign w:val="bottom"/>
            <w:hideMark/>
          </w:tcPr>
          <w:p w14:paraId="0A6BA9CC" w14:textId="77777777" w:rsidR="00C8627B" w:rsidRPr="00C8627B" w:rsidRDefault="00C8627B" w:rsidP="00C8627B">
            <w:pPr>
              <w:jc w:val="center"/>
              <w:rPr>
                <w:b/>
                <w:bCs/>
                <w:color w:val="000000"/>
                <w:sz w:val="18"/>
                <w:szCs w:val="18"/>
                <w:lang w:eastAsia="pt-BR"/>
              </w:rPr>
            </w:pPr>
            <w:proofErr w:type="spellStart"/>
            <w:proofErr w:type="gramStart"/>
            <w:r w:rsidRPr="00C8627B">
              <w:rPr>
                <w:b/>
                <w:bCs/>
                <w:color w:val="000000"/>
                <w:sz w:val="18"/>
                <w:szCs w:val="18"/>
                <w:lang w:eastAsia="pt-BR"/>
              </w:rPr>
              <w:t>LPIw</w:t>
            </w:r>
            <w:proofErr w:type="spellEnd"/>
            <w:proofErr w:type="gramEnd"/>
          </w:p>
        </w:tc>
        <w:tc>
          <w:tcPr>
            <w:tcW w:w="1182" w:type="dxa"/>
            <w:tcBorders>
              <w:top w:val="single" w:sz="8" w:space="0" w:color="EBEBEB"/>
              <w:left w:val="nil"/>
              <w:bottom w:val="single" w:sz="4" w:space="0" w:color="auto"/>
              <w:right w:val="nil"/>
            </w:tcBorders>
            <w:shd w:val="clear" w:color="000000" w:fill="F2F2F2"/>
            <w:vAlign w:val="center"/>
            <w:hideMark/>
          </w:tcPr>
          <w:p w14:paraId="5F5DB081" w14:textId="77777777" w:rsidR="00C8627B" w:rsidRPr="00C8627B" w:rsidRDefault="00C8627B" w:rsidP="00C8627B">
            <w:pPr>
              <w:jc w:val="right"/>
              <w:rPr>
                <w:b/>
                <w:bCs/>
                <w:color w:val="505050"/>
                <w:sz w:val="18"/>
                <w:szCs w:val="18"/>
                <w:lang w:eastAsia="pt-BR"/>
              </w:rPr>
            </w:pPr>
            <w:r w:rsidRPr="00C8627B">
              <w:rPr>
                <w:b/>
                <w:bCs/>
                <w:color w:val="505050"/>
                <w:sz w:val="18"/>
                <w:szCs w:val="18"/>
                <w:lang w:eastAsia="pt-BR"/>
              </w:rPr>
              <w:t>0,16</w:t>
            </w:r>
          </w:p>
        </w:tc>
        <w:tc>
          <w:tcPr>
            <w:tcW w:w="1618" w:type="dxa"/>
            <w:tcBorders>
              <w:top w:val="nil"/>
              <w:left w:val="nil"/>
              <w:bottom w:val="single" w:sz="4" w:space="0" w:color="auto"/>
              <w:right w:val="nil"/>
            </w:tcBorders>
            <w:shd w:val="clear" w:color="000000" w:fill="F2F2F2"/>
            <w:vAlign w:val="center"/>
            <w:hideMark/>
          </w:tcPr>
          <w:p w14:paraId="284923F3" w14:textId="77777777" w:rsidR="00C8627B" w:rsidRPr="00C8627B" w:rsidRDefault="00C8627B" w:rsidP="00C8627B">
            <w:pPr>
              <w:jc w:val="right"/>
              <w:rPr>
                <w:b/>
                <w:bCs/>
                <w:color w:val="505050"/>
                <w:sz w:val="18"/>
                <w:szCs w:val="18"/>
                <w:lang w:eastAsia="pt-BR"/>
              </w:rPr>
            </w:pPr>
            <w:r w:rsidRPr="00C8627B">
              <w:rPr>
                <w:b/>
                <w:bCs/>
                <w:color w:val="505050"/>
                <w:sz w:val="18"/>
                <w:szCs w:val="18"/>
                <w:lang w:eastAsia="pt-BR"/>
              </w:rPr>
              <w:t>0,24</w:t>
            </w:r>
          </w:p>
        </w:tc>
        <w:tc>
          <w:tcPr>
            <w:tcW w:w="1346" w:type="dxa"/>
            <w:tcBorders>
              <w:top w:val="nil"/>
              <w:left w:val="nil"/>
              <w:bottom w:val="single" w:sz="4" w:space="0" w:color="auto"/>
              <w:right w:val="nil"/>
            </w:tcBorders>
            <w:shd w:val="clear" w:color="000000" w:fill="F2F2F2"/>
            <w:vAlign w:val="center"/>
            <w:hideMark/>
          </w:tcPr>
          <w:p w14:paraId="18F4E803" w14:textId="77777777" w:rsidR="00C8627B" w:rsidRPr="00C8627B" w:rsidRDefault="00C8627B" w:rsidP="00C8627B">
            <w:pPr>
              <w:jc w:val="right"/>
              <w:rPr>
                <w:b/>
                <w:bCs/>
                <w:color w:val="505050"/>
                <w:sz w:val="18"/>
                <w:szCs w:val="18"/>
                <w:lang w:eastAsia="pt-BR"/>
              </w:rPr>
            </w:pPr>
            <w:r w:rsidRPr="00C8627B">
              <w:rPr>
                <w:b/>
                <w:bCs/>
                <w:color w:val="505050"/>
                <w:sz w:val="18"/>
                <w:szCs w:val="18"/>
                <w:lang w:eastAsia="pt-BR"/>
              </w:rPr>
              <w:t>0,13</w:t>
            </w:r>
          </w:p>
        </w:tc>
        <w:tc>
          <w:tcPr>
            <w:tcW w:w="1346" w:type="dxa"/>
            <w:tcBorders>
              <w:top w:val="nil"/>
              <w:left w:val="nil"/>
              <w:bottom w:val="single" w:sz="4" w:space="0" w:color="auto"/>
              <w:right w:val="nil"/>
            </w:tcBorders>
            <w:shd w:val="clear" w:color="000000" w:fill="F2F2F2"/>
            <w:vAlign w:val="center"/>
            <w:hideMark/>
          </w:tcPr>
          <w:p w14:paraId="0675808D" w14:textId="77777777" w:rsidR="00C8627B" w:rsidRPr="00C8627B" w:rsidRDefault="00C8627B" w:rsidP="00C8627B">
            <w:pPr>
              <w:jc w:val="right"/>
              <w:rPr>
                <w:b/>
                <w:bCs/>
                <w:color w:val="505050"/>
                <w:sz w:val="18"/>
                <w:szCs w:val="18"/>
                <w:lang w:eastAsia="pt-BR"/>
              </w:rPr>
            </w:pPr>
            <w:r w:rsidRPr="00C8627B">
              <w:rPr>
                <w:b/>
                <w:bCs/>
                <w:color w:val="505050"/>
                <w:sz w:val="18"/>
                <w:szCs w:val="18"/>
                <w:lang w:eastAsia="pt-BR"/>
              </w:rPr>
              <w:t>0,22</w:t>
            </w:r>
          </w:p>
        </w:tc>
        <w:tc>
          <w:tcPr>
            <w:tcW w:w="1564" w:type="dxa"/>
            <w:tcBorders>
              <w:top w:val="nil"/>
              <w:left w:val="nil"/>
              <w:bottom w:val="single" w:sz="4" w:space="0" w:color="auto"/>
              <w:right w:val="nil"/>
            </w:tcBorders>
            <w:shd w:val="clear" w:color="000000" w:fill="F2F2F2"/>
            <w:vAlign w:val="center"/>
            <w:hideMark/>
          </w:tcPr>
          <w:p w14:paraId="64D1634F" w14:textId="77777777" w:rsidR="00C8627B" w:rsidRPr="00C8627B" w:rsidRDefault="00C8627B" w:rsidP="00C8627B">
            <w:pPr>
              <w:jc w:val="right"/>
              <w:rPr>
                <w:b/>
                <w:bCs/>
                <w:color w:val="505050"/>
                <w:sz w:val="18"/>
                <w:szCs w:val="18"/>
                <w:lang w:eastAsia="pt-BR"/>
              </w:rPr>
            </w:pPr>
            <w:r w:rsidRPr="00C8627B">
              <w:rPr>
                <w:b/>
                <w:bCs/>
                <w:color w:val="505050"/>
                <w:sz w:val="18"/>
                <w:szCs w:val="18"/>
                <w:lang w:eastAsia="pt-BR"/>
              </w:rPr>
              <w:t>0,10</w:t>
            </w:r>
          </w:p>
        </w:tc>
        <w:tc>
          <w:tcPr>
            <w:tcW w:w="1473" w:type="dxa"/>
            <w:tcBorders>
              <w:top w:val="nil"/>
              <w:left w:val="nil"/>
              <w:bottom w:val="single" w:sz="4" w:space="0" w:color="auto"/>
              <w:right w:val="nil"/>
            </w:tcBorders>
            <w:shd w:val="clear" w:color="000000" w:fill="F2F2F2"/>
            <w:vAlign w:val="center"/>
            <w:hideMark/>
          </w:tcPr>
          <w:p w14:paraId="4FDBAF7B" w14:textId="77777777" w:rsidR="00C8627B" w:rsidRPr="00C8627B" w:rsidRDefault="00C8627B" w:rsidP="00C8627B">
            <w:pPr>
              <w:jc w:val="right"/>
              <w:rPr>
                <w:b/>
                <w:bCs/>
                <w:color w:val="505050"/>
                <w:sz w:val="18"/>
                <w:szCs w:val="18"/>
                <w:lang w:eastAsia="pt-BR"/>
              </w:rPr>
            </w:pPr>
            <w:r w:rsidRPr="00C8627B">
              <w:rPr>
                <w:b/>
                <w:bCs/>
                <w:color w:val="505050"/>
                <w:sz w:val="18"/>
                <w:szCs w:val="18"/>
                <w:lang w:eastAsia="pt-BR"/>
              </w:rPr>
              <w:t>0,16</w:t>
            </w:r>
          </w:p>
        </w:tc>
        <w:tc>
          <w:tcPr>
            <w:tcW w:w="1291" w:type="dxa"/>
            <w:tcBorders>
              <w:top w:val="nil"/>
              <w:left w:val="nil"/>
              <w:bottom w:val="single" w:sz="4" w:space="0" w:color="auto"/>
              <w:right w:val="nil"/>
            </w:tcBorders>
            <w:shd w:val="clear" w:color="000000" w:fill="F2F2F2"/>
            <w:noWrap/>
            <w:vAlign w:val="bottom"/>
            <w:hideMark/>
          </w:tcPr>
          <w:p w14:paraId="39E7DD19" w14:textId="77777777" w:rsidR="00C8627B" w:rsidRPr="00C8627B" w:rsidRDefault="00C8627B" w:rsidP="00C8627B">
            <w:pPr>
              <w:jc w:val="right"/>
              <w:rPr>
                <w:b/>
                <w:bCs/>
                <w:color w:val="000000"/>
                <w:sz w:val="18"/>
                <w:szCs w:val="18"/>
                <w:lang w:eastAsia="pt-BR"/>
              </w:rPr>
            </w:pPr>
            <w:r w:rsidRPr="00C8627B">
              <w:rPr>
                <w:b/>
                <w:bCs/>
                <w:color w:val="000000"/>
                <w:sz w:val="18"/>
                <w:szCs w:val="18"/>
                <w:lang w:eastAsia="pt-BR"/>
              </w:rPr>
              <w:t>1,01</w:t>
            </w:r>
          </w:p>
        </w:tc>
      </w:tr>
      <w:tr w:rsidR="00C8627B" w:rsidRPr="00C8627B" w14:paraId="05F79416" w14:textId="77777777" w:rsidTr="00C8627B">
        <w:trPr>
          <w:trHeight w:val="232"/>
        </w:trPr>
        <w:tc>
          <w:tcPr>
            <w:tcW w:w="873" w:type="dxa"/>
            <w:tcBorders>
              <w:top w:val="nil"/>
              <w:left w:val="nil"/>
              <w:bottom w:val="nil"/>
              <w:right w:val="nil"/>
            </w:tcBorders>
            <w:shd w:val="clear" w:color="auto" w:fill="auto"/>
            <w:noWrap/>
            <w:vAlign w:val="bottom"/>
            <w:hideMark/>
          </w:tcPr>
          <w:p w14:paraId="6CB286C9" w14:textId="77777777" w:rsidR="00C8627B" w:rsidRPr="00C8627B" w:rsidRDefault="00C8627B" w:rsidP="00C8627B">
            <w:pPr>
              <w:jc w:val="right"/>
              <w:rPr>
                <w:b/>
                <w:bCs/>
                <w:color w:val="000000"/>
                <w:sz w:val="18"/>
                <w:szCs w:val="18"/>
                <w:lang w:eastAsia="pt-BR"/>
              </w:rPr>
            </w:pPr>
          </w:p>
        </w:tc>
        <w:tc>
          <w:tcPr>
            <w:tcW w:w="1182" w:type="dxa"/>
            <w:tcBorders>
              <w:top w:val="nil"/>
              <w:left w:val="nil"/>
              <w:bottom w:val="nil"/>
              <w:right w:val="nil"/>
            </w:tcBorders>
            <w:shd w:val="clear" w:color="auto" w:fill="auto"/>
            <w:noWrap/>
            <w:vAlign w:val="bottom"/>
            <w:hideMark/>
          </w:tcPr>
          <w:p w14:paraId="17E9C97A" w14:textId="77777777" w:rsidR="00C8627B" w:rsidRPr="00C8627B" w:rsidRDefault="00C8627B" w:rsidP="00C8627B">
            <w:pPr>
              <w:jc w:val="center"/>
              <w:rPr>
                <w:sz w:val="18"/>
                <w:szCs w:val="18"/>
                <w:lang w:eastAsia="pt-BR"/>
              </w:rPr>
            </w:pPr>
          </w:p>
        </w:tc>
        <w:tc>
          <w:tcPr>
            <w:tcW w:w="1618" w:type="dxa"/>
            <w:tcBorders>
              <w:top w:val="nil"/>
              <w:left w:val="nil"/>
              <w:bottom w:val="nil"/>
              <w:right w:val="nil"/>
            </w:tcBorders>
            <w:shd w:val="clear" w:color="auto" w:fill="auto"/>
            <w:noWrap/>
            <w:vAlign w:val="bottom"/>
            <w:hideMark/>
          </w:tcPr>
          <w:p w14:paraId="7EE31BEB" w14:textId="77777777" w:rsidR="00C8627B" w:rsidRPr="00C8627B" w:rsidRDefault="00C8627B" w:rsidP="00C8627B">
            <w:pPr>
              <w:jc w:val="right"/>
              <w:rPr>
                <w:sz w:val="18"/>
                <w:szCs w:val="18"/>
                <w:lang w:eastAsia="pt-BR"/>
              </w:rPr>
            </w:pPr>
          </w:p>
        </w:tc>
        <w:tc>
          <w:tcPr>
            <w:tcW w:w="1346" w:type="dxa"/>
            <w:tcBorders>
              <w:top w:val="nil"/>
              <w:left w:val="nil"/>
              <w:bottom w:val="nil"/>
              <w:right w:val="nil"/>
            </w:tcBorders>
            <w:shd w:val="clear" w:color="auto" w:fill="auto"/>
            <w:noWrap/>
            <w:vAlign w:val="bottom"/>
            <w:hideMark/>
          </w:tcPr>
          <w:p w14:paraId="69B2F4F7" w14:textId="77777777" w:rsidR="00C8627B" w:rsidRPr="00C8627B" w:rsidRDefault="00C8627B" w:rsidP="00C8627B">
            <w:pPr>
              <w:jc w:val="right"/>
              <w:rPr>
                <w:sz w:val="18"/>
                <w:szCs w:val="18"/>
                <w:lang w:eastAsia="pt-BR"/>
              </w:rPr>
            </w:pPr>
          </w:p>
        </w:tc>
        <w:tc>
          <w:tcPr>
            <w:tcW w:w="1346" w:type="dxa"/>
            <w:tcBorders>
              <w:top w:val="nil"/>
              <w:left w:val="nil"/>
              <w:bottom w:val="nil"/>
              <w:right w:val="nil"/>
            </w:tcBorders>
            <w:shd w:val="clear" w:color="auto" w:fill="auto"/>
            <w:noWrap/>
            <w:vAlign w:val="bottom"/>
            <w:hideMark/>
          </w:tcPr>
          <w:p w14:paraId="116C8578" w14:textId="77777777" w:rsidR="00C8627B" w:rsidRPr="00C8627B" w:rsidRDefault="00C8627B" w:rsidP="00C8627B">
            <w:pPr>
              <w:jc w:val="right"/>
              <w:rPr>
                <w:sz w:val="18"/>
                <w:szCs w:val="18"/>
                <w:lang w:eastAsia="pt-BR"/>
              </w:rPr>
            </w:pPr>
          </w:p>
        </w:tc>
        <w:tc>
          <w:tcPr>
            <w:tcW w:w="1564" w:type="dxa"/>
            <w:tcBorders>
              <w:top w:val="nil"/>
              <w:left w:val="nil"/>
              <w:bottom w:val="nil"/>
              <w:right w:val="nil"/>
            </w:tcBorders>
            <w:shd w:val="clear" w:color="auto" w:fill="auto"/>
            <w:noWrap/>
            <w:vAlign w:val="bottom"/>
            <w:hideMark/>
          </w:tcPr>
          <w:p w14:paraId="0B4908FD" w14:textId="77777777" w:rsidR="00C8627B" w:rsidRPr="00C8627B" w:rsidRDefault="00C8627B" w:rsidP="00C8627B">
            <w:pPr>
              <w:jc w:val="right"/>
              <w:rPr>
                <w:sz w:val="18"/>
                <w:szCs w:val="18"/>
                <w:lang w:eastAsia="pt-BR"/>
              </w:rPr>
            </w:pPr>
          </w:p>
        </w:tc>
        <w:tc>
          <w:tcPr>
            <w:tcW w:w="1473" w:type="dxa"/>
            <w:tcBorders>
              <w:top w:val="nil"/>
              <w:left w:val="nil"/>
              <w:bottom w:val="nil"/>
              <w:right w:val="nil"/>
            </w:tcBorders>
            <w:shd w:val="clear" w:color="auto" w:fill="auto"/>
            <w:noWrap/>
            <w:vAlign w:val="bottom"/>
            <w:hideMark/>
          </w:tcPr>
          <w:p w14:paraId="0BEA94D3" w14:textId="77777777" w:rsidR="00C8627B" w:rsidRPr="00C8627B" w:rsidRDefault="00C8627B" w:rsidP="00C8627B">
            <w:pPr>
              <w:jc w:val="right"/>
              <w:rPr>
                <w:sz w:val="18"/>
                <w:szCs w:val="18"/>
                <w:lang w:eastAsia="pt-BR"/>
              </w:rPr>
            </w:pPr>
          </w:p>
        </w:tc>
        <w:tc>
          <w:tcPr>
            <w:tcW w:w="1291" w:type="dxa"/>
            <w:tcBorders>
              <w:top w:val="nil"/>
              <w:left w:val="nil"/>
              <w:bottom w:val="nil"/>
              <w:right w:val="nil"/>
            </w:tcBorders>
            <w:shd w:val="clear" w:color="auto" w:fill="auto"/>
            <w:noWrap/>
            <w:vAlign w:val="bottom"/>
            <w:hideMark/>
          </w:tcPr>
          <w:p w14:paraId="415C1DFF" w14:textId="77777777" w:rsidR="00C8627B" w:rsidRPr="00C8627B" w:rsidRDefault="00C8627B" w:rsidP="00C8627B">
            <w:pPr>
              <w:jc w:val="right"/>
              <w:rPr>
                <w:sz w:val="18"/>
                <w:szCs w:val="18"/>
                <w:lang w:eastAsia="pt-BR"/>
              </w:rPr>
            </w:pPr>
          </w:p>
        </w:tc>
      </w:tr>
      <w:tr w:rsidR="00C8627B" w:rsidRPr="00C8627B" w14:paraId="63113304" w14:textId="77777777" w:rsidTr="00C8627B">
        <w:trPr>
          <w:trHeight w:val="232"/>
        </w:trPr>
        <w:tc>
          <w:tcPr>
            <w:tcW w:w="873" w:type="dxa"/>
            <w:tcBorders>
              <w:top w:val="single" w:sz="4" w:space="0" w:color="auto"/>
              <w:left w:val="single" w:sz="4" w:space="0" w:color="auto"/>
              <w:bottom w:val="nil"/>
              <w:right w:val="single" w:sz="4" w:space="0" w:color="auto"/>
            </w:tcBorders>
            <w:shd w:val="clear" w:color="000000" w:fill="F2F2F2"/>
            <w:noWrap/>
            <w:vAlign w:val="bottom"/>
            <w:hideMark/>
          </w:tcPr>
          <w:p w14:paraId="05F8B84F" w14:textId="77777777" w:rsidR="00C8627B" w:rsidRPr="00C8627B" w:rsidRDefault="00C8627B" w:rsidP="00C8627B">
            <w:pPr>
              <w:jc w:val="center"/>
              <w:rPr>
                <w:b/>
                <w:bCs/>
                <w:color w:val="000000"/>
                <w:sz w:val="18"/>
                <w:szCs w:val="18"/>
                <w:lang w:eastAsia="pt-BR"/>
              </w:rPr>
            </w:pPr>
            <w:r w:rsidRPr="00C8627B">
              <w:rPr>
                <w:b/>
                <w:bCs/>
                <w:color w:val="000000"/>
                <w:sz w:val="18"/>
                <w:szCs w:val="18"/>
                <w:lang w:eastAsia="pt-BR"/>
              </w:rPr>
              <w:t>2007</w:t>
            </w:r>
          </w:p>
        </w:tc>
        <w:tc>
          <w:tcPr>
            <w:tcW w:w="1182" w:type="dxa"/>
            <w:tcBorders>
              <w:top w:val="single" w:sz="4" w:space="0" w:color="auto"/>
              <w:left w:val="nil"/>
              <w:bottom w:val="single" w:sz="4" w:space="0" w:color="auto"/>
              <w:right w:val="nil"/>
            </w:tcBorders>
            <w:shd w:val="clear" w:color="000000" w:fill="F2F2F2"/>
            <w:noWrap/>
            <w:vAlign w:val="bottom"/>
            <w:hideMark/>
          </w:tcPr>
          <w:p w14:paraId="31C35789" w14:textId="77777777" w:rsidR="00C8627B" w:rsidRPr="00C8627B" w:rsidRDefault="00C8627B" w:rsidP="00C8627B">
            <w:pPr>
              <w:jc w:val="right"/>
              <w:rPr>
                <w:sz w:val="18"/>
                <w:szCs w:val="18"/>
                <w:lang w:eastAsia="pt-BR"/>
              </w:rPr>
            </w:pPr>
            <w:r w:rsidRPr="00C8627B">
              <w:rPr>
                <w:sz w:val="18"/>
                <w:szCs w:val="18"/>
                <w:lang w:eastAsia="pt-BR"/>
              </w:rPr>
              <w:t>2,386</w:t>
            </w:r>
          </w:p>
        </w:tc>
        <w:tc>
          <w:tcPr>
            <w:tcW w:w="1618" w:type="dxa"/>
            <w:tcBorders>
              <w:top w:val="single" w:sz="4" w:space="0" w:color="auto"/>
              <w:left w:val="nil"/>
              <w:bottom w:val="single" w:sz="4" w:space="0" w:color="auto"/>
              <w:right w:val="nil"/>
            </w:tcBorders>
            <w:shd w:val="clear" w:color="000000" w:fill="F2F2F2"/>
            <w:noWrap/>
            <w:vAlign w:val="bottom"/>
            <w:hideMark/>
          </w:tcPr>
          <w:p w14:paraId="2E01FC63" w14:textId="77777777" w:rsidR="00C8627B" w:rsidRPr="00C8627B" w:rsidRDefault="00C8627B" w:rsidP="00C8627B">
            <w:pPr>
              <w:jc w:val="right"/>
              <w:rPr>
                <w:sz w:val="18"/>
                <w:szCs w:val="18"/>
                <w:lang w:eastAsia="pt-BR"/>
              </w:rPr>
            </w:pPr>
            <w:r w:rsidRPr="00C8627B">
              <w:rPr>
                <w:sz w:val="18"/>
                <w:szCs w:val="18"/>
                <w:lang w:eastAsia="pt-BR"/>
              </w:rPr>
              <w:t>2,746</w:t>
            </w:r>
          </w:p>
        </w:tc>
        <w:tc>
          <w:tcPr>
            <w:tcW w:w="1346" w:type="dxa"/>
            <w:tcBorders>
              <w:top w:val="single" w:sz="4" w:space="0" w:color="auto"/>
              <w:left w:val="nil"/>
              <w:bottom w:val="single" w:sz="4" w:space="0" w:color="auto"/>
              <w:right w:val="nil"/>
            </w:tcBorders>
            <w:shd w:val="clear" w:color="000000" w:fill="F2F2F2"/>
            <w:noWrap/>
            <w:vAlign w:val="bottom"/>
            <w:hideMark/>
          </w:tcPr>
          <w:p w14:paraId="1D3C1EBC" w14:textId="77777777" w:rsidR="00C8627B" w:rsidRPr="00C8627B" w:rsidRDefault="00C8627B" w:rsidP="00C8627B">
            <w:pPr>
              <w:jc w:val="right"/>
              <w:rPr>
                <w:sz w:val="18"/>
                <w:szCs w:val="18"/>
                <w:lang w:eastAsia="pt-BR"/>
              </w:rPr>
            </w:pPr>
            <w:r w:rsidRPr="00C8627B">
              <w:rPr>
                <w:sz w:val="18"/>
                <w:szCs w:val="18"/>
                <w:lang w:eastAsia="pt-BR"/>
              </w:rPr>
              <w:t>2,609</w:t>
            </w:r>
          </w:p>
        </w:tc>
        <w:tc>
          <w:tcPr>
            <w:tcW w:w="1346" w:type="dxa"/>
            <w:tcBorders>
              <w:top w:val="single" w:sz="4" w:space="0" w:color="auto"/>
              <w:left w:val="nil"/>
              <w:bottom w:val="single" w:sz="4" w:space="0" w:color="auto"/>
              <w:right w:val="nil"/>
            </w:tcBorders>
            <w:shd w:val="clear" w:color="000000" w:fill="F2F2F2"/>
            <w:noWrap/>
            <w:vAlign w:val="bottom"/>
            <w:hideMark/>
          </w:tcPr>
          <w:p w14:paraId="2673D1B0" w14:textId="77777777" w:rsidR="00C8627B" w:rsidRPr="00C8627B" w:rsidRDefault="00C8627B" w:rsidP="00C8627B">
            <w:pPr>
              <w:jc w:val="right"/>
              <w:rPr>
                <w:sz w:val="18"/>
                <w:szCs w:val="18"/>
                <w:lang w:eastAsia="pt-BR"/>
              </w:rPr>
            </w:pPr>
            <w:r w:rsidRPr="00C8627B">
              <w:rPr>
                <w:sz w:val="18"/>
                <w:szCs w:val="18"/>
                <w:lang w:eastAsia="pt-BR"/>
              </w:rPr>
              <w:t>2,939</w:t>
            </w:r>
          </w:p>
        </w:tc>
        <w:tc>
          <w:tcPr>
            <w:tcW w:w="1564" w:type="dxa"/>
            <w:tcBorders>
              <w:top w:val="single" w:sz="4" w:space="0" w:color="auto"/>
              <w:left w:val="nil"/>
              <w:bottom w:val="single" w:sz="4" w:space="0" w:color="auto"/>
              <w:right w:val="nil"/>
            </w:tcBorders>
            <w:shd w:val="clear" w:color="000000" w:fill="F2F2F2"/>
            <w:noWrap/>
            <w:vAlign w:val="bottom"/>
            <w:hideMark/>
          </w:tcPr>
          <w:p w14:paraId="44401A0A" w14:textId="77777777" w:rsidR="00C8627B" w:rsidRPr="00C8627B" w:rsidRDefault="00C8627B" w:rsidP="00C8627B">
            <w:pPr>
              <w:jc w:val="right"/>
              <w:rPr>
                <w:sz w:val="18"/>
                <w:szCs w:val="18"/>
                <w:lang w:eastAsia="pt-BR"/>
              </w:rPr>
            </w:pPr>
            <w:r w:rsidRPr="00C8627B">
              <w:rPr>
                <w:sz w:val="18"/>
                <w:szCs w:val="18"/>
                <w:lang w:eastAsia="pt-BR"/>
              </w:rPr>
              <w:t>2,769</w:t>
            </w:r>
          </w:p>
        </w:tc>
        <w:tc>
          <w:tcPr>
            <w:tcW w:w="1473" w:type="dxa"/>
            <w:tcBorders>
              <w:top w:val="single" w:sz="4" w:space="0" w:color="auto"/>
              <w:left w:val="nil"/>
              <w:bottom w:val="single" w:sz="4" w:space="0" w:color="auto"/>
              <w:right w:val="nil"/>
            </w:tcBorders>
            <w:shd w:val="clear" w:color="000000" w:fill="F2F2F2"/>
            <w:noWrap/>
            <w:vAlign w:val="bottom"/>
            <w:hideMark/>
          </w:tcPr>
          <w:p w14:paraId="6A33C7F3" w14:textId="77777777" w:rsidR="00C8627B" w:rsidRPr="00C8627B" w:rsidRDefault="00C8627B" w:rsidP="00C8627B">
            <w:pPr>
              <w:jc w:val="right"/>
              <w:rPr>
                <w:sz w:val="18"/>
                <w:szCs w:val="18"/>
                <w:lang w:eastAsia="pt-BR"/>
              </w:rPr>
            </w:pPr>
            <w:r w:rsidRPr="00C8627B">
              <w:rPr>
                <w:sz w:val="18"/>
                <w:szCs w:val="18"/>
                <w:lang w:eastAsia="pt-BR"/>
              </w:rPr>
              <w:t>3,102</w:t>
            </w:r>
          </w:p>
        </w:tc>
        <w:tc>
          <w:tcPr>
            <w:tcW w:w="129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F8A98B5" w14:textId="77777777" w:rsidR="00C8627B" w:rsidRPr="00C8627B" w:rsidRDefault="00C8627B" w:rsidP="00C8627B">
            <w:pPr>
              <w:jc w:val="right"/>
              <w:rPr>
                <w:b/>
                <w:bCs/>
                <w:color w:val="000000"/>
                <w:sz w:val="18"/>
                <w:szCs w:val="18"/>
                <w:lang w:eastAsia="pt-BR"/>
              </w:rPr>
            </w:pPr>
            <w:r w:rsidRPr="00C8627B">
              <w:rPr>
                <w:b/>
                <w:bCs/>
                <w:color w:val="000000"/>
                <w:sz w:val="18"/>
                <w:szCs w:val="18"/>
                <w:lang w:eastAsia="pt-BR"/>
              </w:rPr>
              <w:t>SCORE</w:t>
            </w:r>
          </w:p>
        </w:tc>
      </w:tr>
      <w:tr w:rsidR="00C8627B" w:rsidRPr="00C8627B" w14:paraId="66D51333" w14:textId="77777777" w:rsidTr="00C8627B">
        <w:trPr>
          <w:trHeight w:val="232"/>
        </w:trPr>
        <w:tc>
          <w:tcPr>
            <w:tcW w:w="873" w:type="dxa"/>
            <w:tcBorders>
              <w:top w:val="nil"/>
              <w:left w:val="single" w:sz="4" w:space="0" w:color="auto"/>
              <w:bottom w:val="nil"/>
              <w:right w:val="single" w:sz="4" w:space="0" w:color="auto"/>
            </w:tcBorders>
            <w:shd w:val="clear" w:color="auto" w:fill="auto"/>
            <w:noWrap/>
            <w:vAlign w:val="bottom"/>
            <w:hideMark/>
          </w:tcPr>
          <w:p w14:paraId="25DF036F" w14:textId="77777777" w:rsidR="00C8627B" w:rsidRPr="00C8627B" w:rsidRDefault="00C8627B" w:rsidP="00C8627B">
            <w:pPr>
              <w:jc w:val="center"/>
              <w:rPr>
                <w:b/>
                <w:bCs/>
                <w:color w:val="000000"/>
                <w:sz w:val="18"/>
                <w:szCs w:val="18"/>
                <w:lang w:eastAsia="pt-BR"/>
              </w:rPr>
            </w:pPr>
            <w:r w:rsidRPr="00C8627B">
              <w:rPr>
                <w:b/>
                <w:bCs/>
                <w:color w:val="000000"/>
                <w:sz w:val="18"/>
                <w:szCs w:val="18"/>
                <w:lang w:eastAsia="pt-BR"/>
              </w:rPr>
              <w:t>LPI</w:t>
            </w:r>
          </w:p>
        </w:tc>
        <w:tc>
          <w:tcPr>
            <w:tcW w:w="1182" w:type="dxa"/>
            <w:tcBorders>
              <w:top w:val="nil"/>
              <w:left w:val="nil"/>
              <w:bottom w:val="nil"/>
              <w:right w:val="nil"/>
            </w:tcBorders>
            <w:shd w:val="clear" w:color="000000" w:fill="F8CBAD"/>
            <w:noWrap/>
            <w:vAlign w:val="bottom"/>
            <w:hideMark/>
          </w:tcPr>
          <w:p w14:paraId="77939123" w14:textId="77777777" w:rsidR="00C8627B" w:rsidRPr="00C8627B" w:rsidRDefault="00C8627B" w:rsidP="00C8627B">
            <w:pPr>
              <w:jc w:val="right"/>
              <w:rPr>
                <w:color w:val="000000"/>
                <w:sz w:val="18"/>
                <w:szCs w:val="18"/>
                <w:lang w:eastAsia="pt-BR"/>
              </w:rPr>
            </w:pPr>
            <w:r w:rsidRPr="00C8627B">
              <w:rPr>
                <w:color w:val="000000"/>
                <w:sz w:val="18"/>
                <w:szCs w:val="18"/>
                <w:lang w:eastAsia="pt-BR"/>
              </w:rPr>
              <w:t>0,39</w:t>
            </w:r>
          </w:p>
        </w:tc>
        <w:tc>
          <w:tcPr>
            <w:tcW w:w="1618" w:type="dxa"/>
            <w:tcBorders>
              <w:top w:val="nil"/>
              <w:left w:val="nil"/>
              <w:bottom w:val="nil"/>
              <w:right w:val="nil"/>
            </w:tcBorders>
            <w:shd w:val="clear" w:color="auto" w:fill="auto"/>
            <w:noWrap/>
            <w:vAlign w:val="bottom"/>
            <w:hideMark/>
          </w:tcPr>
          <w:p w14:paraId="7333E76B" w14:textId="77777777" w:rsidR="00C8627B" w:rsidRPr="00C8627B" w:rsidRDefault="00C8627B" w:rsidP="00C8627B">
            <w:pPr>
              <w:jc w:val="right"/>
              <w:rPr>
                <w:color w:val="000000"/>
                <w:sz w:val="18"/>
                <w:szCs w:val="18"/>
                <w:lang w:eastAsia="pt-BR"/>
              </w:rPr>
            </w:pPr>
            <w:r w:rsidRPr="00C8627B">
              <w:rPr>
                <w:color w:val="000000"/>
                <w:sz w:val="18"/>
                <w:szCs w:val="18"/>
                <w:lang w:eastAsia="pt-BR"/>
              </w:rPr>
              <w:t>0,47</w:t>
            </w:r>
          </w:p>
        </w:tc>
        <w:tc>
          <w:tcPr>
            <w:tcW w:w="1346" w:type="dxa"/>
            <w:tcBorders>
              <w:top w:val="nil"/>
              <w:left w:val="nil"/>
              <w:bottom w:val="nil"/>
              <w:right w:val="nil"/>
            </w:tcBorders>
            <w:shd w:val="clear" w:color="auto" w:fill="FDE9D9" w:themeFill="accent6" w:themeFillTint="33"/>
            <w:noWrap/>
            <w:vAlign w:val="bottom"/>
            <w:hideMark/>
          </w:tcPr>
          <w:p w14:paraId="2941EFE1" w14:textId="77777777" w:rsidR="00C8627B" w:rsidRPr="00C8627B" w:rsidRDefault="00C8627B" w:rsidP="00C8627B">
            <w:pPr>
              <w:jc w:val="right"/>
              <w:rPr>
                <w:color w:val="000000"/>
                <w:sz w:val="18"/>
                <w:szCs w:val="18"/>
                <w:lang w:eastAsia="pt-BR"/>
              </w:rPr>
            </w:pPr>
            <w:r w:rsidRPr="00C8627B">
              <w:rPr>
                <w:color w:val="000000"/>
                <w:sz w:val="18"/>
                <w:szCs w:val="18"/>
                <w:lang w:eastAsia="pt-BR"/>
              </w:rPr>
              <w:t>0,43</w:t>
            </w:r>
          </w:p>
        </w:tc>
        <w:tc>
          <w:tcPr>
            <w:tcW w:w="1346" w:type="dxa"/>
            <w:tcBorders>
              <w:top w:val="nil"/>
              <w:left w:val="nil"/>
              <w:bottom w:val="nil"/>
              <w:right w:val="nil"/>
            </w:tcBorders>
            <w:shd w:val="clear" w:color="000000" w:fill="D9E1F2"/>
            <w:noWrap/>
            <w:vAlign w:val="bottom"/>
            <w:hideMark/>
          </w:tcPr>
          <w:p w14:paraId="619C55E4"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0,50</w:t>
            </w:r>
          </w:p>
        </w:tc>
        <w:tc>
          <w:tcPr>
            <w:tcW w:w="1564" w:type="dxa"/>
            <w:tcBorders>
              <w:top w:val="nil"/>
              <w:left w:val="nil"/>
              <w:bottom w:val="nil"/>
              <w:right w:val="nil"/>
            </w:tcBorders>
            <w:shd w:val="clear" w:color="auto" w:fill="auto"/>
            <w:noWrap/>
            <w:vAlign w:val="bottom"/>
            <w:hideMark/>
          </w:tcPr>
          <w:p w14:paraId="4597ECC9" w14:textId="77777777" w:rsidR="00C8627B" w:rsidRPr="00C8627B" w:rsidRDefault="00C8627B" w:rsidP="00C8627B">
            <w:pPr>
              <w:jc w:val="right"/>
              <w:rPr>
                <w:color w:val="000000"/>
                <w:sz w:val="18"/>
                <w:szCs w:val="18"/>
                <w:lang w:eastAsia="pt-BR"/>
              </w:rPr>
            </w:pPr>
            <w:r w:rsidRPr="00C8627B">
              <w:rPr>
                <w:color w:val="000000"/>
                <w:sz w:val="18"/>
                <w:szCs w:val="18"/>
                <w:lang w:eastAsia="pt-BR"/>
              </w:rPr>
              <w:t>0,46</w:t>
            </w:r>
          </w:p>
        </w:tc>
        <w:tc>
          <w:tcPr>
            <w:tcW w:w="1473" w:type="dxa"/>
            <w:tcBorders>
              <w:top w:val="nil"/>
              <w:left w:val="nil"/>
              <w:bottom w:val="nil"/>
              <w:right w:val="nil"/>
            </w:tcBorders>
            <w:shd w:val="clear" w:color="000000" w:fill="B4C6E7"/>
            <w:noWrap/>
            <w:vAlign w:val="bottom"/>
            <w:hideMark/>
          </w:tcPr>
          <w:p w14:paraId="7063B681"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0,51</w:t>
            </w:r>
          </w:p>
        </w:tc>
        <w:tc>
          <w:tcPr>
            <w:tcW w:w="1291" w:type="dxa"/>
            <w:tcBorders>
              <w:top w:val="nil"/>
              <w:left w:val="single" w:sz="4" w:space="0" w:color="auto"/>
              <w:bottom w:val="nil"/>
              <w:right w:val="single" w:sz="4" w:space="0" w:color="auto"/>
            </w:tcBorders>
            <w:shd w:val="clear" w:color="auto" w:fill="auto"/>
            <w:noWrap/>
            <w:vAlign w:val="bottom"/>
            <w:hideMark/>
          </w:tcPr>
          <w:p w14:paraId="3C5D6AC0" w14:textId="77777777" w:rsidR="00C8627B" w:rsidRPr="00C8627B" w:rsidRDefault="00C8627B" w:rsidP="00C8627B">
            <w:pPr>
              <w:jc w:val="right"/>
              <w:rPr>
                <w:b/>
                <w:bCs/>
                <w:color w:val="000000"/>
                <w:sz w:val="18"/>
                <w:szCs w:val="18"/>
                <w:lang w:eastAsia="pt-BR"/>
              </w:rPr>
            </w:pPr>
            <w:r w:rsidRPr="00C8627B">
              <w:rPr>
                <w:b/>
                <w:bCs/>
                <w:color w:val="000000"/>
                <w:sz w:val="18"/>
                <w:szCs w:val="18"/>
                <w:lang w:eastAsia="pt-BR"/>
              </w:rPr>
              <w:t>2,76</w:t>
            </w:r>
          </w:p>
        </w:tc>
      </w:tr>
      <w:tr w:rsidR="00C8627B" w:rsidRPr="00C8627B" w14:paraId="0B760491" w14:textId="77777777" w:rsidTr="00C8627B">
        <w:trPr>
          <w:trHeight w:val="232"/>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14:paraId="174E885C" w14:textId="77777777" w:rsidR="00C8627B" w:rsidRPr="00C8627B" w:rsidRDefault="00C8627B" w:rsidP="00C8627B">
            <w:pPr>
              <w:jc w:val="center"/>
              <w:rPr>
                <w:b/>
                <w:bCs/>
                <w:color w:val="000000"/>
                <w:sz w:val="18"/>
                <w:szCs w:val="18"/>
                <w:lang w:eastAsia="pt-BR"/>
              </w:rPr>
            </w:pPr>
            <w:proofErr w:type="spellStart"/>
            <w:proofErr w:type="gramStart"/>
            <w:r w:rsidRPr="00C8627B">
              <w:rPr>
                <w:b/>
                <w:bCs/>
                <w:color w:val="000000"/>
                <w:sz w:val="18"/>
                <w:szCs w:val="18"/>
                <w:lang w:eastAsia="pt-BR"/>
              </w:rPr>
              <w:t>LPIw</w:t>
            </w:r>
            <w:proofErr w:type="spellEnd"/>
            <w:proofErr w:type="gramEnd"/>
          </w:p>
        </w:tc>
        <w:tc>
          <w:tcPr>
            <w:tcW w:w="1182" w:type="dxa"/>
            <w:tcBorders>
              <w:top w:val="nil"/>
              <w:left w:val="nil"/>
              <w:bottom w:val="single" w:sz="4" w:space="0" w:color="auto"/>
              <w:right w:val="nil"/>
            </w:tcBorders>
            <w:shd w:val="clear" w:color="auto" w:fill="auto"/>
            <w:noWrap/>
            <w:vAlign w:val="bottom"/>
            <w:hideMark/>
          </w:tcPr>
          <w:p w14:paraId="3AD1FC6D" w14:textId="77777777" w:rsidR="00C8627B" w:rsidRPr="00C8627B" w:rsidRDefault="00C8627B" w:rsidP="00C8627B">
            <w:pPr>
              <w:jc w:val="right"/>
              <w:rPr>
                <w:sz w:val="18"/>
                <w:szCs w:val="18"/>
                <w:lang w:eastAsia="pt-BR"/>
              </w:rPr>
            </w:pPr>
            <w:r w:rsidRPr="00C8627B">
              <w:rPr>
                <w:sz w:val="18"/>
                <w:szCs w:val="18"/>
                <w:lang w:eastAsia="pt-BR"/>
              </w:rPr>
              <w:t>0,38</w:t>
            </w:r>
          </w:p>
        </w:tc>
        <w:tc>
          <w:tcPr>
            <w:tcW w:w="1618" w:type="dxa"/>
            <w:tcBorders>
              <w:top w:val="nil"/>
              <w:left w:val="nil"/>
              <w:bottom w:val="single" w:sz="4" w:space="0" w:color="auto"/>
              <w:right w:val="nil"/>
            </w:tcBorders>
            <w:shd w:val="clear" w:color="000000" w:fill="B4C6E7"/>
            <w:noWrap/>
            <w:vAlign w:val="bottom"/>
            <w:hideMark/>
          </w:tcPr>
          <w:p w14:paraId="24CDB49F" w14:textId="77777777" w:rsidR="00C8627B" w:rsidRPr="00C8627B" w:rsidRDefault="00C8627B" w:rsidP="00C8627B">
            <w:pPr>
              <w:jc w:val="right"/>
              <w:rPr>
                <w:sz w:val="18"/>
                <w:szCs w:val="18"/>
                <w:lang w:eastAsia="pt-BR"/>
              </w:rPr>
            </w:pPr>
            <w:r w:rsidRPr="00C8627B">
              <w:rPr>
                <w:sz w:val="18"/>
                <w:szCs w:val="18"/>
                <w:lang w:eastAsia="pt-BR"/>
              </w:rPr>
              <w:t>0,66</w:t>
            </w:r>
          </w:p>
        </w:tc>
        <w:tc>
          <w:tcPr>
            <w:tcW w:w="1346" w:type="dxa"/>
            <w:tcBorders>
              <w:top w:val="nil"/>
              <w:left w:val="nil"/>
              <w:bottom w:val="single" w:sz="4" w:space="0" w:color="auto"/>
              <w:right w:val="nil"/>
            </w:tcBorders>
            <w:shd w:val="clear" w:color="000000" w:fill="FCE4D6"/>
            <w:noWrap/>
            <w:vAlign w:val="bottom"/>
            <w:hideMark/>
          </w:tcPr>
          <w:p w14:paraId="0296F522" w14:textId="77777777" w:rsidR="00C8627B" w:rsidRPr="00C8627B" w:rsidRDefault="00C8627B" w:rsidP="00C8627B">
            <w:pPr>
              <w:jc w:val="right"/>
              <w:rPr>
                <w:sz w:val="18"/>
                <w:szCs w:val="18"/>
                <w:lang w:eastAsia="pt-BR"/>
              </w:rPr>
            </w:pPr>
            <w:r w:rsidRPr="00C8627B">
              <w:rPr>
                <w:sz w:val="18"/>
                <w:szCs w:val="18"/>
                <w:lang w:eastAsia="pt-BR"/>
              </w:rPr>
              <w:t>0,34</w:t>
            </w:r>
          </w:p>
        </w:tc>
        <w:tc>
          <w:tcPr>
            <w:tcW w:w="1346" w:type="dxa"/>
            <w:tcBorders>
              <w:top w:val="nil"/>
              <w:left w:val="nil"/>
              <w:bottom w:val="single" w:sz="4" w:space="0" w:color="auto"/>
              <w:right w:val="nil"/>
            </w:tcBorders>
            <w:shd w:val="clear" w:color="000000" w:fill="D9E1F2"/>
            <w:noWrap/>
            <w:vAlign w:val="bottom"/>
            <w:hideMark/>
          </w:tcPr>
          <w:p w14:paraId="7446C3C2" w14:textId="77777777" w:rsidR="00C8627B" w:rsidRPr="00C8627B" w:rsidRDefault="00C8627B" w:rsidP="00C8627B">
            <w:pPr>
              <w:jc w:val="right"/>
              <w:rPr>
                <w:sz w:val="18"/>
                <w:szCs w:val="18"/>
                <w:lang w:eastAsia="pt-BR"/>
              </w:rPr>
            </w:pPr>
            <w:r w:rsidRPr="00C8627B">
              <w:rPr>
                <w:sz w:val="18"/>
                <w:szCs w:val="18"/>
                <w:lang w:eastAsia="pt-BR"/>
              </w:rPr>
              <w:t>0,65</w:t>
            </w:r>
          </w:p>
        </w:tc>
        <w:tc>
          <w:tcPr>
            <w:tcW w:w="1564" w:type="dxa"/>
            <w:tcBorders>
              <w:top w:val="nil"/>
              <w:left w:val="nil"/>
              <w:bottom w:val="single" w:sz="4" w:space="0" w:color="auto"/>
              <w:right w:val="nil"/>
            </w:tcBorders>
            <w:shd w:val="clear" w:color="000000" w:fill="F8CBAD"/>
            <w:noWrap/>
            <w:vAlign w:val="bottom"/>
            <w:hideMark/>
          </w:tcPr>
          <w:p w14:paraId="59D0E256" w14:textId="77777777" w:rsidR="00C8627B" w:rsidRPr="00C8627B" w:rsidRDefault="00C8627B" w:rsidP="00C8627B">
            <w:pPr>
              <w:jc w:val="right"/>
              <w:rPr>
                <w:sz w:val="18"/>
                <w:szCs w:val="18"/>
                <w:lang w:eastAsia="pt-BR"/>
              </w:rPr>
            </w:pPr>
            <w:r w:rsidRPr="00C8627B">
              <w:rPr>
                <w:sz w:val="18"/>
                <w:szCs w:val="18"/>
                <w:lang w:eastAsia="pt-BR"/>
              </w:rPr>
              <w:t>0,28</w:t>
            </w:r>
          </w:p>
        </w:tc>
        <w:tc>
          <w:tcPr>
            <w:tcW w:w="1473" w:type="dxa"/>
            <w:tcBorders>
              <w:top w:val="nil"/>
              <w:left w:val="nil"/>
              <w:bottom w:val="single" w:sz="4" w:space="0" w:color="auto"/>
              <w:right w:val="nil"/>
            </w:tcBorders>
            <w:shd w:val="clear" w:color="auto" w:fill="auto"/>
            <w:noWrap/>
            <w:vAlign w:val="bottom"/>
            <w:hideMark/>
          </w:tcPr>
          <w:p w14:paraId="3D87ED8F" w14:textId="77777777" w:rsidR="00C8627B" w:rsidRPr="00C8627B" w:rsidRDefault="00C8627B" w:rsidP="00C8627B">
            <w:pPr>
              <w:jc w:val="right"/>
              <w:rPr>
                <w:sz w:val="18"/>
                <w:szCs w:val="18"/>
                <w:lang w:eastAsia="pt-BR"/>
              </w:rPr>
            </w:pPr>
            <w:r w:rsidRPr="00C8627B">
              <w:rPr>
                <w:sz w:val="18"/>
                <w:szCs w:val="18"/>
                <w:lang w:eastAsia="pt-BR"/>
              </w:rPr>
              <w:t>0,50</w:t>
            </w:r>
          </w:p>
        </w:tc>
        <w:tc>
          <w:tcPr>
            <w:tcW w:w="1291" w:type="dxa"/>
            <w:tcBorders>
              <w:top w:val="nil"/>
              <w:left w:val="single" w:sz="4" w:space="0" w:color="auto"/>
              <w:bottom w:val="single" w:sz="4" w:space="0" w:color="auto"/>
              <w:right w:val="single" w:sz="4" w:space="0" w:color="auto"/>
            </w:tcBorders>
            <w:shd w:val="clear" w:color="000000" w:fill="44546A"/>
            <w:noWrap/>
            <w:vAlign w:val="bottom"/>
            <w:hideMark/>
          </w:tcPr>
          <w:p w14:paraId="22B16B81" w14:textId="77777777" w:rsidR="00C8627B" w:rsidRPr="00C8627B" w:rsidRDefault="00C8627B" w:rsidP="00C8627B">
            <w:pPr>
              <w:jc w:val="right"/>
              <w:rPr>
                <w:b/>
                <w:bCs/>
                <w:color w:val="FFFFFF"/>
                <w:sz w:val="18"/>
                <w:szCs w:val="18"/>
                <w:lang w:eastAsia="pt-BR"/>
              </w:rPr>
            </w:pPr>
            <w:r w:rsidRPr="00C8627B">
              <w:rPr>
                <w:b/>
                <w:bCs/>
                <w:color w:val="FFFFFF"/>
                <w:sz w:val="18"/>
                <w:szCs w:val="18"/>
                <w:lang w:eastAsia="pt-BR"/>
              </w:rPr>
              <w:t>2,80</w:t>
            </w:r>
          </w:p>
        </w:tc>
      </w:tr>
      <w:tr w:rsidR="00C8627B" w:rsidRPr="00C8627B" w14:paraId="40834AF0" w14:textId="77777777" w:rsidTr="00C8627B">
        <w:trPr>
          <w:trHeight w:val="232"/>
        </w:trPr>
        <w:tc>
          <w:tcPr>
            <w:tcW w:w="873" w:type="dxa"/>
            <w:tcBorders>
              <w:top w:val="nil"/>
              <w:left w:val="nil"/>
              <w:bottom w:val="nil"/>
              <w:right w:val="nil"/>
            </w:tcBorders>
            <w:shd w:val="clear" w:color="auto" w:fill="auto"/>
            <w:noWrap/>
            <w:vAlign w:val="bottom"/>
            <w:hideMark/>
          </w:tcPr>
          <w:p w14:paraId="4999D3D7" w14:textId="77777777" w:rsidR="00C8627B" w:rsidRPr="00C8627B" w:rsidRDefault="00C8627B" w:rsidP="00C8627B">
            <w:pPr>
              <w:jc w:val="right"/>
              <w:rPr>
                <w:b/>
                <w:bCs/>
                <w:color w:val="FFFFFF"/>
                <w:sz w:val="18"/>
                <w:szCs w:val="18"/>
                <w:lang w:eastAsia="pt-BR"/>
              </w:rPr>
            </w:pPr>
          </w:p>
        </w:tc>
        <w:tc>
          <w:tcPr>
            <w:tcW w:w="1182" w:type="dxa"/>
            <w:tcBorders>
              <w:top w:val="nil"/>
              <w:left w:val="nil"/>
              <w:bottom w:val="nil"/>
              <w:right w:val="nil"/>
            </w:tcBorders>
            <w:shd w:val="clear" w:color="auto" w:fill="auto"/>
            <w:noWrap/>
            <w:vAlign w:val="bottom"/>
            <w:hideMark/>
          </w:tcPr>
          <w:p w14:paraId="2D60BC8B" w14:textId="77777777" w:rsidR="00C8627B" w:rsidRPr="00C8627B" w:rsidRDefault="00C8627B" w:rsidP="00C8627B">
            <w:pPr>
              <w:jc w:val="center"/>
              <w:rPr>
                <w:sz w:val="18"/>
                <w:szCs w:val="18"/>
                <w:lang w:eastAsia="pt-BR"/>
              </w:rPr>
            </w:pPr>
          </w:p>
        </w:tc>
        <w:tc>
          <w:tcPr>
            <w:tcW w:w="1618" w:type="dxa"/>
            <w:tcBorders>
              <w:top w:val="nil"/>
              <w:left w:val="nil"/>
              <w:bottom w:val="nil"/>
              <w:right w:val="nil"/>
            </w:tcBorders>
            <w:shd w:val="clear" w:color="auto" w:fill="auto"/>
            <w:noWrap/>
            <w:vAlign w:val="bottom"/>
            <w:hideMark/>
          </w:tcPr>
          <w:p w14:paraId="732DE760" w14:textId="77777777" w:rsidR="00C8627B" w:rsidRPr="00C8627B" w:rsidRDefault="00C8627B" w:rsidP="00C8627B">
            <w:pPr>
              <w:jc w:val="right"/>
              <w:rPr>
                <w:sz w:val="18"/>
                <w:szCs w:val="18"/>
                <w:lang w:eastAsia="pt-BR"/>
              </w:rPr>
            </w:pPr>
          </w:p>
        </w:tc>
        <w:tc>
          <w:tcPr>
            <w:tcW w:w="1346" w:type="dxa"/>
            <w:tcBorders>
              <w:top w:val="nil"/>
              <w:left w:val="nil"/>
              <w:bottom w:val="nil"/>
              <w:right w:val="nil"/>
            </w:tcBorders>
            <w:shd w:val="clear" w:color="auto" w:fill="auto"/>
            <w:noWrap/>
            <w:vAlign w:val="bottom"/>
            <w:hideMark/>
          </w:tcPr>
          <w:p w14:paraId="431247A2" w14:textId="77777777" w:rsidR="00C8627B" w:rsidRPr="00C8627B" w:rsidRDefault="00C8627B" w:rsidP="00C8627B">
            <w:pPr>
              <w:jc w:val="right"/>
              <w:rPr>
                <w:sz w:val="18"/>
                <w:szCs w:val="18"/>
                <w:lang w:eastAsia="pt-BR"/>
              </w:rPr>
            </w:pPr>
          </w:p>
        </w:tc>
        <w:tc>
          <w:tcPr>
            <w:tcW w:w="1346" w:type="dxa"/>
            <w:tcBorders>
              <w:top w:val="nil"/>
              <w:left w:val="nil"/>
              <w:bottom w:val="nil"/>
              <w:right w:val="nil"/>
            </w:tcBorders>
            <w:shd w:val="clear" w:color="auto" w:fill="auto"/>
            <w:noWrap/>
            <w:vAlign w:val="bottom"/>
            <w:hideMark/>
          </w:tcPr>
          <w:p w14:paraId="2F52F223" w14:textId="77777777" w:rsidR="00C8627B" w:rsidRPr="00C8627B" w:rsidRDefault="00C8627B" w:rsidP="00C8627B">
            <w:pPr>
              <w:jc w:val="right"/>
              <w:rPr>
                <w:sz w:val="18"/>
                <w:szCs w:val="18"/>
                <w:lang w:eastAsia="pt-BR"/>
              </w:rPr>
            </w:pPr>
          </w:p>
        </w:tc>
        <w:tc>
          <w:tcPr>
            <w:tcW w:w="1564" w:type="dxa"/>
            <w:tcBorders>
              <w:top w:val="nil"/>
              <w:left w:val="nil"/>
              <w:bottom w:val="nil"/>
              <w:right w:val="nil"/>
            </w:tcBorders>
            <w:shd w:val="clear" w:color="auto" w:fill="auto"/>
            <w:noWrap/>
            <w:vAlign w:val="bottom"/>
            <w:hideMark/>
          </w:tcPr>
          <w:p w14:paraId="1C1FEBDA" w14:textId="77777777" w:rsidR="00C8627B" w:rsidRPr="00C8627B" w:rsidRDefault="00C8627B" w:rsidP="00C8627B">
            <w:pPr>
              <w:jc w:val="right"/>
              <w:rPr>
                <w:sz w:val="18"/>
                <w:szCs w:val="18"/>
                <w:lang w:eastAsia="pt-BR"/>
              </w:rPr>
            </w:pPr>
          </w:p>
        </w:tc>
        <w:tc>
          <w:tcPr>
            <w:tcW w:w="1473" w:type="dxa"/>
            <w:tcBorders>
              <w:top w:val="nil"/>
              <w:left w:val="nil"/>
              <w:bottom w:val="nil"/>
              <w:right w:val="nil"/>
            </w:tcBorders>
            <w:shd w:val="clear" w:color="auto" w:fill="auto"/>
            <w:noWrap/>
            <w:vAlign w:val="bottom"/>
            <w:hideMark/>
          </w:tcPr>
          <w:p w14:paraId="0FA7DA72" w14:textId="77777777" w:rsidR="00C8627B" w:rsidRPr="00C8627B" w:rsidRDefault="00C8627B" w:rsidP="00C8627B">
            <w:pPr>
              <w:jc w:val="right"/>
              <w:rPr>
                <w:sz w:val="18"/>
                <w:szCs w:val="18"/>
                <w:lang w:eastAsia="pt-BR"/>
              </w:rPr>
            </w:pPr>
          </w:p>
        </w:tc>
        <w:tc>
          <w:tcPr>
            <w:tcW w:w="1291" w:type="dxa"/>
            <w:tcBorders>
              <w:top w:val="nil"/>
              <w:left w:val="nil"/>
              <w:bottom w:val="nil"/>
              <w:right w:val="nil"/>
            </w:tcBorders>
            <w:shd w:val="clear" w:color="auto" w:fill="auto"/>
            <w:noWrap/>
            <w:vAlign w:val="bottom"/>
            <w:hideMark/>
          </w:tcPr>
          <w:p w14:paraId="35740F7F" w14:textId="77777777" w:rsidR="00C8627B" w:rsidRPr="00C8627B" w:rsidRDefault="00C8627B" w:rsidP="00C8627B">
            <w:pPr>
              <w:jc w:val="right"/>
              <w:rPr>
                <w:sz w:val="18"/>
                <w:szCs w:val="18"/>
                <w:lang w:eastAsia="pt-BR"/>
              </w:rPr>
            </w:pPr>
          </w:p>
        </w:tc>
      </w:tr>
      <w:tr w:rsidR="00C8627B" w:rsidRPr="00C8627B" w14:paraId="62C68152" w14:textId="77777777" w:rsidTr="00C8627B">
        <w:trPr>
          <w:trHeight w:val="232"/>
        </w:trPr>
        <w:tc>
          <w:tcPr>
            <w:tcW w:w="873" w:type="dxa"/>
            <w:tcBorders>
              <w:top w:val="single" w:sz="4" w:space="0" w:color="auto"/>
              <w:left w:val="single" w:sz="4" w:space="0" w:color="auto"/>
              <w:bottom w:val="nil"/>
              <w:right w:val="single" w:sz="4" w:space="0" w:color="auto"/>
            </w:tcBorders>
            <w:shd w:val="clear" w:color="000000" w:fill="F2F2F2"/>
            <w:noWrap/>
            <w:vAlign w:val="bottom"/>
            <w:hideMark/>
          </w:tcPr>
          <w:p w14:paraId="07DE9DD3" w14:textId="77777777" w:rsidR="00C8627B" w:rsidRPr="00C8627B" w:rsidRDefault="00C8627B" w:rsidP="00C8627B">
            <w:pPr>
              <w:jc w:val="center"/>
              <w:rPr>
                <w:b/>
                <w:bCs/>
                <w:color w:val="000000"/>
                <w:sz w:val="18"/>
                <w:szCs w:val="18"/>
                <w:lang w:eastAsia="pt-BR"/>
              </w:rPr>
            </w:pPr>
            <w:r w:rsidRPr="00C8627B">
              <w:rPr>
                <w:b/>
                <w:bCs/>
                <w:color w:val="000000"/>
                <w:sz w:val="18"/>
                <w:szCs w:val="18"/>
                <w:lang w:eastAsia="pt-BR"/>
              </w:rPr>
              <w:t>2010</w:t>
            </w:r>
          </w:p>
        </w:tc>
        <w:tc>
          <w:tcPr>
            <w:tcW w:w="1182" w:type="dxa"/>
            <w:tcBorders>
              <w:top w:val="single" w:sz="4" w:space="0" w:color="auto"/>
              <w:left w:val="nil"/>
              <w:bottom w:val="single" w:sz="4" w:space="0" w:color="auto"/>
              <w:right w:val="nil"/>
            </w:tcBorders>
            <w:shd w:val="clear" w:color="000000" w:fill="F2F2F2"/>
            <w:noWrap/>
            <w:vAlign w:val="bottom"/>
            <w:hideMark/>
          </w:tcPr>
          <w:p w14:paraId="025969D1" w14:textId="77777777" w:rsidR="00C8627B" w:rsidRPr="00C8627B" w:rsidRDefault="00C8627B" w:rsidP="00C8627B">
            <w:pPr>
              <w:jc w:val="right"/>
              <w:rPr>
                <w:color w:val="000000"/>
                <w:sz w:val="18"/>
                <w:szCs w:val="18"/>
                <w:lang w:eastAsia="pt-BR"/>
              </w:rPr>
            </w:pPr>
            <w:r w:rsidRPr="00C8627B">
              <w:rPr>
                <w:color w:val="000000"/>
                <w:sz w:val="18"/>
                <w:szCs w:val="18"/>
                <w:lang w:eastAsia="pt-BR"/>
              </w:rPr>
              <w:t>2,37</w:t>
            </w:r>
          </w:p>
        </w:tc>
        <w:tc>
          <w:tcPr>
            <w:tcW w:w="1618" w:type="dxa"/>
            <w:tcBorders>
              <w:top w:val="single" w:sz="4" w:space="0" w:color="auto"/>
              <w:left w:val="nil"/>
              <w:bottom w:val="single" w:sz="4" w:space="0" w:color="auto"/>
              <w:right w:val="nil"/>
            </w:tcBorders>
            <w:shd w:val="clear" w:color="000000" w:fill="F2F2F2"/>
            <w:noWrap/>
            <w:vAlign w:val="bottom"/>
            <w:hideMark/>
          </w:tcPr>
          <w:p w14:paraId="3B3D3950" w14:textId="77777777" w:rsidR="00C8627B" w:rsidRPr="00C8627B" w:rsidRDefault="00C8627B" w:rsidP="00C8627B">
            <w:pPr>
              <w:jc w:val="right"/>
              <w:rPr>
                <w:color w:val="000000"/>
                <w:sz w:val="18"/>
                <w:szCs w:val="18"/>
                <w:lang w:eastAsia="pt-BR"/>
              </w:rPr>
            </w:pPr>
            <w:r w:rsidRPr="00C8627B">
              <w:rPr>
                <w:color w:val="000000"/>
                <w:sz w:val="18"/>
                <w:szCs w:val="18"/>
                <w:lang w:eastAsia="pt-BR"/>
              </w:rPr>
              <w:t>3,10</w:t>
            </w:r>
          </w:p>
        </w:tc>
        <w:tc>
          <w:tcPr>
            <w:tcW w:w="1346" w:type="dxa"/>
            <w:tcBorders>
              <w:top w:val="single" w:sz="4" w:space="0" w:color="auto"/>
              <w:left w:val="nil"/>
              <w:bottom w:val="single" w:sz="4" w:space="0" w:color="auto"/>
              <w:right w:val="nil"/>
            </w:tcBorders>
            <w:shd w:val="clear" w:color="000000" w:fill="F2F2F2"/>
            <w:noWrap/>
            <w:vAlign w:val="bottom"/>
            <w:hideMark/>
          </w:tcPr>
          <w:p w14:paraId="36CC895B" w14:textId="77777777" w:rsidR="00C8627B" w:rsidRPr="00C8627B" w:rsidRDefault="00C8627B" w:rsidP="00C8627B">
            <w:pPr>
              <w:jc w:val="right"/>
              <w:rPr>
                <w:color w:val="000000"/>
                <w:sz w:val="18"/>
                <w:szCs w:val="18"/>
                <w:lang w:eastAsia="pt-BR"/>
              </w:rPr>
            </w:pPr>
            <w:r w:rsidRPr="00C8627B">
              <w:rPr>
                <w:color w:val="000000"/>
                <w:sz w:val="18"/>
                <w:szCs w:val="18"/>
                <w:lang w:eastAsia="pt-BR"/>
              </w:rPr>
              <w:t>2,91</w:t>
            </w:r>
          </w:p>
        </w:tc>
        <w:tc>
          <w:tcPr>
            <w:tcW w:w="1346" w:type="dxa"/>
            <w:tcBorders>
              <w:top w:val="single" w:sz="4" w:space="0" w:color="auto"/>
              <w:left w:val="nil"/>
              <w:bottom w:val="single" w:sz="4" w:space="0" w:color="auto"/>
              <w:right w:val="nil"/>
            </w:tcBorders>
            <w:shd w:val="clear" w:color="000000" w:fill="F2F2F2"/>
            <w:noWrap/>
            <w:vAlign w:val="bottom"/>
            <w:hideMark/>
          </w:tcPr>
          <w:p w14:paraId="5FBE49FD" w14:textId="77777777" w:rsidR="00C8627B" w:rsidRPr="00C8627B" w:rsidRDefault="00C8627B" w:rsidP="00C8627B">
            <w:pPr>
              <w:jc w:val="right"/>
              <w:rPr>
                <w:color w:val="000000"/>
                <w:sz w:val="18"/>
                <w:szCs w:val="18"/>
                <w:lang w:eastAsia="pt-BR"/>
              </w:rPr>
            </w:pPr>
            <w:r w:rsidRPr="00C8627B">
              <w:rPr>
                <w:color w:val="000000"/>
                <w:sz w:val="18"/>
                <w:szCs w:val="18"/>
                <w:lang w:eastAsia="pt-BR"/>
              </w:rPr>
              <w:t>3,30</w:t>
            </w:r>
          </w:p>
        </w:tc>
        <w:tc>
          <w:tcPr>
            <w:tcW w:w="1564" w:type="dxa"/>
            <w:tcBorders>
              <w:top w:val="single" w:sz="4" w:space="0" w:color="auto"/>
              <w:left w:val="nil"/>
              <w:bottom w:val="single" w:sz="4" w:space="0" w:color="auto"/>
              <w:right w:val="nil"/>
            </w:tcBorders>
            <w:shd w:val="clear" w:color="000000" w:fill="F2F2F2"/>
            <w:noWrap/>
            <w:vAlign w:val="bottom"/>
            <w:hideMark/>
          </w:tcPr>
          <w:p w14:paraId="22295843" w14:textId="77777777" w:rsidR="00C8627B" w:rsidRPr="00C8627B" w:rsidRDefault="00C8627B" w:rsidP="00C8627B">
            <w:pPr>
              <w:jc w:val="right"/>
              <w:rPr>
                <w:color w:val="000000"/>
                <w:sz w:val="18"/>
                <w:szCs w:val="18"/>
                <w:lang w:eastAsia="pt-BR"/>
              </w:rPr>
            </w:pPr>
            <w:r w:rsidRPr="00C8627B">
              <w:rPr>
                <w:color w:val="000000"/>
                <w:sz w:val="18"/>
                <w:szCs w:val="18"/>
                <w:lang w:eastAsia="pt-BR"/>
              </w:rPr>
              <w:t>3,42</w:t>
            </w:r>
          </w:p>
        </w:tc>
        <w:tc>
          <w:tcPr>
            <w:tcW w:w="1473" w:type="dxa"/>
            <w:tcBorders>
              <w:top w:val="single" w:sz="4" w:space="0" w:color="auto"/>
              <w:left w:val="nil"/>
              <w:bottom w:val="single" w:sz="4" w:space="0" w:color="auto"/>
              <w:right w:val="nil"/>
            </w:tcBorders>
            <w:shd w:val="clear" w:color="000000" w:fill="F2F2F2"/>
            <w:noWrap/>
            <w:vAlign w:val="bottom"/>
            <w:hideMark/>
          </w:tcPr>
          <w:p w14:paraId="272BC4A7" w14:textId="77777777" w:rsidR="00C8627B" w:rsidRPr="00C8627B" w:rsidRDefault="00C8627B" w:rsidP="00C8627B">
            <w:pPr>
              <w:jc w:val="right"/>
              <w:rPr>
                <w:color w:val="000000"/>
                <w:sz w:val="18"/>
                <w:szCs w:val="18"/>
                <w:lang w:eastAsia="pt-BR"/>
              </w:rPr>
            </w:pPr>
            <w:r w:rsidRPr="00C8627B">
              <w:rPr>
                <w:color w:val="000000"/>
                <w:sz w:val="18"/>
                <w:szCs w:val="18"/>
                <w:lang w:eastAsia="pt-BR"/>
              </w:rPr>
              <w:t>4,14</w:t>
            </w:r>
          </w:p>
        </w:tc>
        <w:tc>
          <w:tcPr>
            <w:tcW w:w="129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5240AFD" w14:textId="77777777" w:rsidR="00C8627B" w:rsidRPr="00C8627B" w:rsidRDefault="00C8627B" w:rsidP="00C8627B">
            <w:pPr>
              <w:jc w:val="right"/>
              <w:rPr>
                <w:b/>
                <w:bCs/>
                <w:color w:val="000000"/>
                <w:sz w:val="18"/>
                <w:szCs w:val="18"/>
                <w:lang w:eastAsia="pt-BR"/>
              </w:rPr>
            </w:pPr>
            <w:r w:rsidRPr="00C8627B">
              <w:rPr>
                <w:b/>
                <w:bCs/>
                <w:color w:val="000000"/>
                <w:sz w:val="18"/>
                <w:szCs w:val="18"/>
                <w:lang w:eastAsia="pt-BR"/>
              </w:rPr>
              <w:t>SCORE</w:t>
            </w:r>
          </w:p>
        </w:tc>
      </w:tr>
      <w:tr w:rsidR="00C8627B" w:rsidRPr="00C8627B" w14:paraId="083F8651" w14:textId="77777777" w:rsidTr="00C8627B">
        <w:trPr>
          <w:trHeight w:val="232"/>
        </w:trPr>
        <w:tc>
          <w:tcPr>
            <w:tcW w:w="873" w:type="dxa"/>
            <w:tcBorders>
              <w:top w:val="nil"/>
              <w:left w:val="single" w:sz="4" w:space="0" w:color="auto"/>
              <w:bottom w:val="nil"/>
              <w:right w:val="single" w:sz="4" w:space="0" w:color="auto"/>
            </w:tcBorders>
            <w:shd w:val="clear" w:color="auto" w:fill="auto"/>
            <w:noWrap/>
            <w:vAlign w:val="bottom"/>
            <w:hideMark/>
          </w:tcPr>
          <w:p w14:paraId="745C18D4" w14:textId="77777777" w:rsidR="00C8627B" w:rsidRPr="00C8627B" w:rsidRDefault="00C8627B" w:rsidP="00C8627B">
            <w:pPr>
              <w:jc w:val="center"/>
              <w:rPr>
                <w:b/>
                <w:bCs/>
                <w:color w:val="000000"/>
                <w:sz w:val="18"/>
                <w:szCs w:val="18"/>
                <w:lang w:eastAsia="pt-BR"/>
              </w:rPr>
            </w:pPr>
            <w:r w:rsidRPr="00C8627B">
              <w:rPr>
                <w:b/>
                <w:bCs/>
                <w:color w:val="000000"/>
                <w:sz w:val="18"/>
                <w:szCs w:val="18"/>
                <w:lang w:eastAsia="pt-BR"/>
              </w:rPr>
              <w:t>LPI</w:t>
            </w:r>
          </w:p>
        </w:tc>
        <w:tc>
          <w:tcPr>
            <w:tcW w:w="1182" w:type="dxa"/>
            <w:tcBorders>
              <w:top w:val="nil"/>
              <w:left w:val="nil"/>
              <w:bottom w:val="nil"/>
              <w:right w:val="nil"/>
            </w:tcBorders>
            <w:shd w:val="clear" w:color="000000" w:fill="F8CBAD"/>
            <w:noWrap/>
            <w:vAlign w:val="bottom"/>
            <w:hideMark/>
          </w:tcPr>
          <w:p w14:paraId="0C316864" w14:textId="77777777" w:rsidR="00C8627B" w:rsidRPr="00C8627B" w:rsidRDefault="00C8627B" w:rsidP="00C8627B">
            <w:pPr>
              <w:jc w:val="right"/>
              <w:rPr>
                <w:color w:val="000000"/>
                <w:sz w:val="18"/>
                <w:szCs w:val="18"/>
                <w:lang w:eastAsia="pt-BR"/>
              </w:rPr>
            </w:pPr>
            <w:r w:rsidRPr="00C8627B">
              <w:rPr>
                <w:color w:val="000000"/>
                <w:sz w:val="18"/>
                <w:szCs w:val="18"/>
                <w:lang w:eastAsia="pt-BR"/>
              </w:rPr>
              <w:t>0,39</w:t>
            </w:r>
          </w:p>
        </w:tc>
        <w:tc>
          <w:tcPr>
            <w:tcW w:w="1618" w:type="dxa"/>
            <w:tcBorders>
              <w:top w:val="nil"/>
              <w:left w:val="nil"/>
              <w:bottom w:val="nil"/>
              <w:right w:val="nil"/>
            </w:tcBorders>
            <w:shd w:val="clear" w:color="auto" w:fill="auto"/>
            <w:noWrap/>
            <w:vAlign w:val="bottom"/>
            <w:hideMark/>
          </w:tcPr>
          <w:p w14:paraId="5E7E830B"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0,53</w:t>
            </w:r>
          </w:p>
        </w:tc>
        <w:tc>
          <w:tcPr>
            <w:tcW w:w="1346" w:type="dxa"/>
            <w:tcBorders>
              <w:top w:val="nil"/>
              <w:left w:val="nil"/>
              <w:bottom w:val="nil"/>
              <w:right w:val="nil"/>
            </w:tcBorders>
            <w:shd w:val="clear" w:color="000000" w:fill="FCE4D6"/>
            <w:noWrap/>
            <w:vAlign w:val="bottom"/>
            <w:hideMark/>
          </w:tcPr>
          <w:p w14:paraId="3676181C" w14:textId="77777777" w:rsidR="00C8627B" w:rsidRPr="00C8627B" w:rsidRDefault="00C8627B" w:rsidP="00C8627B">
            <w:pPr>
              <w:jc w:val="right"/>
              <w:rPr>
                <w:color w:val="000000"/>
                <w:sz w:val="18"/>
                <w:szCs w:val="18"/>
                <w:lang w:eastAsia="pt-BR"/>
              </w:rPr>
            </w:pPr>
            <w:r w:rsidRPr="00C8627B">
              <w:rPr>
                <w:color w:val="000000"/>
                <w:sz w:val="18"/>
                <w:szCs w:val="18"/>
                <w:lang w:eastAsia="pt-BR"/>
              </w:rPr>
              <w:t>0,48</w:t>
            </w:r>
          </w:p>
        </w:tc>
        <w:tc>
          <w:tcPr>
            <w:tcW w:w="1346" w:type="dxa"/>
            <w:tcBorders>
              <w:top w:val="nil"/>
              <w:left w:val="nil"/>
              <w:bottom w:val="nil"/>
              <w:right w:val="nil"/>
            </w:tcBorders>
            <w:shd w:val="clear" w:color="auto" w:fill="auto"/>
            <w:noWrap/>
            <w:vAlign w:val="bottom"/>
            <w:hideMark/>
          </w:tcPr>
          <w:p w14:paraId="6B87BF37"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0,56</w:t>
            </w:r>
          </w:p>
        </w:tc>
        <w:tc>
          <w:tcPr>
            <w:tcW w:w="1564" w:type="dxa"/>
            <w:tcBorders>
              <w:top w:val="nil"/>
              <w:left w:val="nil"/>
              <w:bottom w:val="nil"/>
              <w:right w:val="nil"/>
            </w:tcBorders>
            <w:shd w:val="clear" w:color="000000" w:fill="D9E1F2"/>
            <w:noWrap/>
            <w:vAlign w:val="bottom"/>
            <w:hideMark/>
          </w:tcPr>
          <w:p w14:paraId="51BF810A"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0,57</w:t>
            </w:r>
          </w:p>
        </w:tc>
        <w:tc>
          <w:tcPr>
            <w:tcW w:w="1473" w:type="dxa"/>
            <w:tcBorders>
              <w:top w:val="nil"/>
              <w:left w:val="nil"/>
              <w:bottom w:val="nil"/>
              <w:right w:val="nil"/>
            </w:tcBorders>
            <w:shd w:val="clear" w:color="000000" w:fill="B4C6E7"/>
            <w:noWrap/>
            <w:vAlign w:val="bottom"/>
            <w:hideMark/>
          </w:tcPr>
          <w:p w14:paraId="3AC63161" w14:textId="77777777" w:rsidR="00C8627B" w:rsidRPr="00C8627B" w:rsidRDefault="00C8627B" w:rsidP="00C8627B">
            <w:pPr>
              <w:jc w:val="right"/>
              <w:rPr>
                <w:color w:val="000000"/>
                <w:sz w:val="18"/>
                <w:szCs w:val="18"/>
                <w:lang w:eastAsia="pt-BR"/>
              </w:rPr>
            </w:pPr>
            <w:r w:rsidRPr="00C8627B">
              <w:rPr>
                <w:color w:val="000000"/>
                <w:sz w:val="18"/>
                <w:szCs w:val="18"/>
                <w:lang w:eastAsia="pt-BR"/>
              </w:rPr>
              <w:t>0,68</w:t>
            </w:r>
          </w:p>
        </w:tc>
        <w:tc>
          <w:tcPr>
            <w:tcW w:w="1291" w:type="dxa"/>
            <w:tcBorders>
              <w:top w:val="nil"/>
              <w:left w:val="single" w:sz="4" w:space="0" w:color="auto"/>
              <w:bottom w:val="nil"/>
              <w:right w:val="single" w:sz="4" w:space="0" w:color="auto"/>
            </w:tcBorders>
            <w:shd w:val="clear" w:color="auto" w:fill="auto"/>
            <w:noWrap/>
            <w:vAlign w:val="bottom"/>
            <w:hideMark/>
          </w:tcPr>
          <w:p w14:paraId="60611A6C" w14:textId="77777777" w:rsidR="00C8627B" w:rsidRPr="00C8627B" w:rsidRDefault="00C8627B" w:rsidP="00C8627B">
            <w:pPr>
              <w:jc w:val="right"/>
              <w:rPr>
                <w:b/>
                <w:bCs/>
                <w:color w:val="000000"/>
                <w:sz w:val="18"/>
                <w:szCs w:val="18"/>
                <w:lang w:eastAsia="pt-BR"/>
              </w:rPr>
            </w:pPr>
            <w:r w:rsidRPr="00C8627B">
              <w:rPr>
                <w:b/>
                <w:bCs/>
                <w:color w:val="000000"/>
                <w:sz w:val="18"/>
                <w:szCs w:val="18"/>
                <w:lang w:eastAsia="pt-BR"/>
              </w:rPr>
              <w:t>3,21</w:t>
            </w:r>
          </w:p>
        </w:tc>
      </w:tr>
      <w:tr w:rsidR="00C8627B" w:rsidRPr="00C8627B" w14:paraId="5370AA7B" w14:textId="77777777" w:rsidTr="00C8627B">
        <w:trPr>
          <w:trHeight w:val="232"/>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14:paraId="0810862E" w14:textId="77777777" w:rsidR="00C8627B" w:rsidRPr="00C8627B" w:rsidRDefault="00C8627B" w:rsidP="00C8627B">
            <w:pPr>
              <w:jc w:val="center"/>
              <w:rPr>
                <w:b/>
                <w:bCs/>
                <w:color w:val="000000"/>
                <w:sz w:val="18"/>
                <w:szCs w:val="18"/>
                <w:lang w:eastAsia="pt-BR"/>
              </w:rPr>
            </w:pPr>
            <w:proofErr w:type="spellStart"/>
            <w:proofErr w:type="gramStart"/>
            <w:r w:rsidRPr="00C8627B">
              <w:rPr>
                <w:b/>
                <w:bCs/>
                <w:color w:val="000000"/>
                <w:sz w:val="18"/>
                <w:szCs w:val="18"/>
                <w:lang w:eastAsia="pt-BR"/>
              </w:rPr>
              <w:t>LPIw</w:t>
            </w:r>
            <w:proofErr w:type="spellEnd"/>
            <w:proofErr w:type="gramEnd"/>
          </w:p>
        </w:tc>
        <w:tc>
          <w:tcPr>
            <w:tcW w:w="1182" w:type="dxa"/>
            <w:tcBorders>
              <w:top w:val="nil"/>
              <w:left w:val="nil"/>
              <w:bottom w:val="single" w:sz="4" w:space="0" w:color="auto"/>
              <w:right w:val="nil"/>
            </w:tcBorders>
            <w:shd w:val="clear" w:color="000000" w:fill="FCE4D6"/>
            <w:noWrap/>
            <w:vAlign w:val="bottom"/>
            <w:hideMark/>
          </w:tcPr>
          <w:p w14:paraId="7CF84163" w14:textId="77777777" w:rsidR="00C8627B" w:rsidRPr="00C8627B" w:rsidRDefault="00C8627B" w:rsidP="00C8627B">
            <w:pPr>
              <w:jc w:val="right"/>
              <w:rPr>
                <w:color w:val="000000"/>
                <w:sz w:val="18"/>
                <w:szCs w:val="18"/>
                <w:lang w:eastAsia="pt-BR"/>
              </w:rPr>
            </w:pPr>
            <w:r w:rsidRPr="00C8627B">
              <w:rPr>
                <w:color w:val="000000"/>
                <w:sz w:val="18"/>
                <w:szCs w:val="18"/>
                <w:lang w:eastAsia="pt-BR"/>
              </w:rPr>
              <w:t>0,38</w:t>
            </w:r>
          </w:p>
        </w:tc>
        <w:tc>
          <w:tcPr>
            <w:tcW w:w="1618" w:type="dxa"/>
            <w:tcBorders>
              <w:top w:val="nil"/>
              <w:left w:val="nil"/>
              <w:bottom w:val="single" w:sz="4" w:space="0" w:color="auto"/>
              <w:right w:val="nil"/>
            </w:tcBorders>
            <w:shd w:val="clear" w:color="000000" w:fill="B4C6E7"/>
            <w:noWrap/>
            <w:vAlign w:val="bottom"/>
            <w:hideMark/>
          </w:tcPr>
          <w:p w14:paraId="5AF17963" w14:textId="77777777" w:rsidR="00C8627B" w:rsidRPr="00C8627B" w:rsidRDefault="00C8627B" w:rsidP="00C8627B">
            <w:pPr>
              <w:jc w:val="right"/>
              <w:rPr>
                <w:color w:val="000000"/>
                <w:sz w:val="18"/>
                <w:szCs w:val="18"/>
                <w:lang w:eastAsia="pt-BR"/>
              </w:rPr>
            </w:pPr>
            <w:r w:rsidRPr="00C8627B">
              <w:rPr>
                <w:color w:val="000000"/>
                <w:sz w:val="18"/>
                <w:szCs w:val="18"/>
                <w:lang w:eastAsia="pt-BR"/>
              </w:rPr>
              <w:t>0,74</w:t>
            </w:r>
          </w:p>
        </w:tc>
        <w:tc>
          <w:tcPr>
            <w:tcW w:w="1346" w:type="dxa"/>
            <w:tcBorders>
              <w:top w:val="nil"/>
              <w:left w:val="nil"/>
              <w:bottom w:val="single" w:sz="4" w:space="0" w:color="auto"/>
              <w:right w:val="nil"/>
            </w:tcBorders>
            <w:shd w:val="clear" w:color="000000" w:fill="FCE4D6"/>
            <w:noWrap/>
            <w:vAlign w:val="bottom"/>
            <w:hideMark/>
          </w:tcPr>
          <w:p w14:paraId="7CCA9FB5" w14:textId="77777777" w:rsidR="00C8627B" w:rsidRPr="00C8627B" w:rsidRDefault="00C8627B" w:rsidP="00C8627B">
            <w:pPr>
              <w:jc w:val="right"/>
              <w:rPr>
                <w:color w:val="000000"/>
                <w:sz w:val="18"/>
                <w:szCs w:val="18"/>
                <w:lang w:eastAsia="pt-BR"/>
              </w:rPr>
            </w:pPr>
            <w:r w:rsidRPr="00C8627B">
              <w:rPr>
                <w:color w:val="000000"/>
                <w:sz w:val="18"/>
                <w:szCs w:val="18"/>
                <w:lang w:eastAsia="pt-BR"/>
              </w:rPr>
              <w:t>0,38</w:t>
            </w:r>
          </w:p>
        </w:tc>
        <w:tc>
          <w:tcPr>
            <w:tcW w:w="1346" w:type="dxa"/>
            <w:tcBorders>
              <w:top w:val="nil"/>
              <w:left w:val="nil"/>
              <w:bottom w:val="single" w:sz="4" w:space="0" w:color="auto"/>
              <w:right w:val="nil"/>
            </w:tcBorders>
            <w:shd w:val="clear" w:color="000000" w:fill="D9E1F2"/>
            <w:noWrap/>
            <w:vAlign w:val="bottom"/>
            <w:hideMark/>
          </w:tcPr>
          <w:p w14:paraId="045DCD4E" w14:textId="77777777" w:rsidR="00C8627B" w:rsidRPr="00C8627B" w:rsidRDefault="00C8627B" w:rsidP="00C8627B">
            <w:pPr>
              <w:jc w:val="right"/>
              <w:rPr>
                <w:color w:val="000000"/>
                <w:sz w:val="18"/>
                <w:szCs w:val="18"/>
                <w:lang w:eastAsia="pt-BR"/>
              </w:rPr>
            </w:pPr>
            <w:r w:rsidRPr="00C8627B">
              <w:rPr>
                <w:color w:val="000000"/>
                <w:sz w:val="18"/>
                <w:szCs w:val="18"/>
                <w:lang w:eastAsia="pt-BR"/>
              </w:rPr>
              <w:t>0,73</w:t>
            </w:r>
          </w:p>
        </w:tc>
        <w:tc>
          <w:tcPr>
            <w:tcW w:w="1564" w:type="dxa"/>
            <w:tcBorders>
              <w:top w:val="nil"/>
              <w:left w:val="nil"/>
              <w:bottom w:val="single" w:sz="4" w:space="0" w:color="auto"/>
              <w:right w:val="nil"/>
            </w:tcBorders>
            <w:shd w:val="clear" w:color="000000" w:fill="F8CBAD"/>
            <w:noWrap/>
            <w:vAlign w:val="bottom"/>
            <w:hideMark/>
          </w:tcPr>
          <w:p w14:paraId="1D99E834" w14:textId="77777777" w:rsidR="00C8627B" w:rsidRPr="00C8627B" w:rsidRDefault="00C8627B" w:rsidP="00C8627B">
            <w:pPr>
              <w:jc w:val="right"/>
              <w:rPr>
                <w:color w:val="000000"/>
                <w:sz w:val="18"/>
                <w:szCs w:val="18"/>
                <w:lang w:eastAsia="pt-BR"/>
              </w:rPr>
            </w:pPr>
            <w:r w:rsidRPr="00C8627B">
              <w:rPr>
                <w:color w:val="000000"/>
                <w:sz w:val="18"/>
                <w:szCs w:val="18"/>
                <w:lang w:eastAsia="pt-BR"/>
              </w:rPr>
              <w:t>0,34</w:t>
            </w:r>
          </w:p>
        </w:tc>
        <w:tc>
          <w:tcPr>
            <w:tcW w:w="1473" w:type="dxa"/>
            <w:tcBorders>
              <w:top w:val="nil"/>
              <w:left w:val="nil"/>
              <w:bottom w:val="single" w:sz="4" w:space="0" w:color="auto"/>
              <w:right w:val="nil"/>
            </w:tcBorders>
            <w:shd w:val="clear" w:color="auto" w:fill="auto"/>
            <w:noWrap/>
            <w:vAlign w:val="bottom"/>
            <w:hideMark/>
          </w:tcPr>
          <w:p w14:paraId="346DD594" w14:textId="77777777" w:rsidR="00C8627B" w:rsidRPr="00C8627B" w:rsidRDefault="00C8627B" w:rsidP="00C8627B">
            <w:pPr>
              <w:jc w:val="right"/>
              <w:rPr>
                <w:color w:val="000000"/>
                <w:sz w:val="18"/>
                <w:szCs w:val="18"/>
                <w:lang w:eastAsia="pt-BR"/>
              </w:rPr>
            </w:pPr>
            <w:r w:rsidRPr="00C8627B">
              <w:rPr>
                <w:color w:val="000000"/>
                <w:sz w:val="18"/>
                <w:szCs w:val="18"/>
                <w:lang w:eastAsia="pt-BR"/>
              </w:rPr>
              <w:t>0,66</w:t>
            </w:r>
          </w:p>
        </w:tc>
        <w:tc>
          <w:tcPr>
            <w:tcW w:w="1291" w:type="dxa"/>
            <w:tcBorders>
              <w:top w:val="nil"/>
              <w:left w:val="single" w:sz="4" w:space="0" w:color="auto"/>
              <w:bottom w:val="single" w:sz="4" w:space="0" w:color="auto"/>
              <w:right w:val="single" w:sz="4" w:space="0" w:color="auto"/>
            </w:tcBorders>
            <w:shd w:val="clear" w:color="000000" w:fill="44546A"/>
            <w:noWrap/>
            <w:vAlign w:val="bottom"/>
            <w:hideMark/>
          </w:tcPr>
          <w:p w14:paraId="74A75B90" w14:textId="77777777" w:rsidR="00C8627B" w:rsidRPr="00C8627B" w:rsidRDefault="00C8627B" w:rsidP="00C8627B">
            <w:pPr>
              <w:jc w:val="right"/>
              <w:rPr>
                <w:b/>
                <w:bCs/>
                <w:color w:val="FFFFFF"/>
                <w:sz w:val="18"/>
                <w:szCs w:val="18"/>
                <w:lang w:eastAsia="pt-BR"/>
              </w:rPr>
            </w:pPr>
            <w:r w:rsidRPr="00C8627B">
              <w:rPr>
                <w:b/>
                <w:bCs/>
                <w:color w:val="FFFFFF"/>
                <w:sz w:val="18"/>
                <w:szCs w:val="18"/>
                <w:lang w:eastAsia="pt-BR"/>
              </w:rPr>
              <w:t>3,23</w:t>
            </w:r>
          </w:p>
        </w:tc>
      </w:tr>
      <w:tr w:rsidR="00C8627B" w:rsidRPr="00C8627B" w14:paraId="61B9D457" w14:textId="77777777" w:rsidTr="00C8627B">
        <w:trPr>
          <w:trHeight w:val="232"/>
        </w:trPr>
        <w:tc>
          <w:tcPr>
            <w:tcW w:w="873" w:type="dxa"/>
            <w:tcBorders>
              <w:top w:val="nil"/>
              <w:left w:val="nil"/>
              <w:bottom w:val="nil"/>
              <w:right w:val="nil"/>
            </w:tcBorders>
            <w:shd w:val="clear" w:color="auto" w:fill="auto"/>
            <w:noWrap/>
            <w:vAlign w:val="bottom"/>
            <w:hideMark/>
          </w:tcPr>
          <w:p w14:paraId="2449249A" w14:textId="77777777" w:rsidR="00C8627B" w:rsidRPr="00C8627B" w:rsidRDefault="00C8627B" w:rsidP="00C8627B">
            <w:pPr>
              <w:jc w:val="right"/>
              <w:rPr>
                <w:b/>
                <w:bCs/>
                <w:color w:val="FFFFFF"/>
                <w:sz w:val="18"/>
                <w:szCs w:val="18"/>
                <w:lang w:eastAsia="pt-BR"/>
              </w:rPr>
            </w:pPr>
          </w:p>
        </w:tc>
        <w:tc>
          <w:tcPr>
            <w:tcW w:w="1182" w:type="dxa"/>
            <w:tcBorders>
              <w:top w:val="nil"/>
              <w:left w:val="nil"/>
              <w:bottom w:val="nil"/>
              <w:right w:val="nil"/>
            </w:tcBorders>
            <w:shd w:val="clear" w:color="auto" w:fill="auto"/>
            <w:noWrap/>
            <w:vAlign w:val="bottom"/>
            <w:hideMark/>
          </w:tcPr>
          <w:p w14:paraId="250DDB59" w14:textId="77777777" w:rsidR="00C8627B" w:rsidRPr="00C8627B" w:rsidRDefault="00C8627B" w:rsidP="00C8627B">
            <w:pPr>
              <w:jc w:val="center"/>
              <w:rPr>
                <w:sz w:val="18"/>
                <w:szCs w:val="18"/>
                <w:lang w:eastAsia="pt-BR"/>
              </w:rPr>
            </w:pPr>
          </w:p>
        </w:tc>
        <w:tc>
          <w:tcPr>
            <w:tcW w:w="1618" w:type="dxa"/>
            <w:tcBorders>
              <w:top w:val="nil"/>
              <w:left w:val="nil"/>
              <w:bottom w:val="nil"/>
              <w:right w:val="nil"/>
            </w:tcBorders>
            <w:shd w:val="clear" w:color="auto" w:fill="auto"/>
            <w:noWrap/>
            <w:vAlign w:val="bottom"/>
            <w:hideMark/>
          </w:tcPr>
          <w:p w14:paraId="1FA4B00A" w14:textId="77777777" w:rsidR="00C8627B" w:rsidRPr="00C8627B" w:rsidRDefault="00C8627B" w:rsidP="00C8627B">
            <w:pPr>
              <w:jc w:val="right"/>
              <w:rPr>
                <w:sz w:val="18"/>
                <w:szCs w:val="18"/>
                <w:lang w:eastAsia="pt-BR"/>
              </w:rPr>
            </w:pPr>
          </w:p>
        </w:tc>
        <w:tc>
          <w:tcPr>
            <w:tcW w:w="1346" w:type="dxa"/>
            <w:tcBorders>
              <w:top w:val="nil"/>
              <w:left w:val="nil"/>
              <w:bottom w:val="nil"/>
              <w:right w:val="nil"/>
            </w:tcBorders>
            <w:shd w:val="clear" w:color="auto" w:fill="auto"/>
            <w:noWrap/>
            <w:vAlign w:val="bottom"/>
            <w:hideMark/>
          </w:tcPr>
          <w:p w14:paraId="0C0226C9" w14:textId="77777777" w:rsidR="00C8627B" w:rsidRPr="00C8627B" w:rsidRDefault="00C8627B" w:rsidP="00C8627B">
            <w:pPr>
              <w:jc w:val="right"/>
              <w:rPr>
                <w:sz w:val="18"/>
                <w:szCs w:val="18"/>
                <w:lang w:eastAsia="pt-BR"/>
              </w:rPr>
            </w:pPr>
          </w:p>
        </w:tc>
        <w:tc>
          <w:tcPr>
            <w:tcW w:w="1346" w:type="dxa"/>
            <w:tcBorders>
              <w:top w:val="nil"/>
              <w:left w:val="nil"/>
              <w:bottom w:val="nil"/>
              <w:right w:val="nil"/>
            </w:tcBorders>
            <w:shd w:val="clear" w:color="auto" w:fill="auto"/>
            <w:noWrap/>
            <w:vAlign w:val="bottom"/>
            <w:hideMark/>
          </w:tcPr>
          <w:p w14:paraId="49969482" w14:textId="77777777" w:rsidR="00C8627B" w:rsidRPr="00C8627B" w:rsidRDefault="00C8627B" w:rsidP="00C8627B">
            <w:pPr>
              <w:jc w:val="right"/>
              <w:rPr>
                <w:sz w:val="18"/>
                <w:szCs w:val="18"/>
                <w:lang w:eastAsia="pt-BR"/>
              </w:rPr>
            </w:pPr>
          </w:p>
        </w:tc>
        <w:tc>
          <w:tcPr>
            <w:tcW w:w="1564" w:type="dxa"/>
            <w:tcBorders>
              <w:top w:val="nil"/>
              <w:left w:val="nil"/>
              <w:bottom w:val="nil"/>
              <w:right w:val="nil"/>
            </w:tcBorders>
            <w:shd w:val="clear" w:color="auto" w:fill="auto"/>
            <w:noWrap/>
            <w:vAlign w:val="bottom"/>
            <w:hideMark/>
          </w:tcPr>
          <w:p w14:paraId="30CC0E80" w14:textId="77777777" w:rsidR="00C8627B" w:rsidRPr="00C8627B" w:rsidRDefault="00C8627B" w:rsidP="00C8627B">
            <w:pPr>
              <w:jc w:val="right"/>
              <w:rPr>
                <w:sz w:val="18"/>
                <w:szCs w:val="18"/>
                <w:lang w:eastAsia="pt-BR"/>
              </w:rPr>
            </w:pPr>
          </w:p>
        </w:tc>
        <w:tc>
          <w:tcPr>
            <w:tcW w:w="1473" w:type="dxa"/>
            <w:tcBorders>
              <w:top w:val="nil"/>
              <w:left w:val="nil"/>
              <w:bottom w:val="nil"/>
              <w:right w:val="nil"/>
            </w:tcBorders>
            <w:shd w:val="clear" w:color="auto" w:fill="auto"/>
            <w:noWrap/>
            <w:vAlign w:val="bottom"/>
            <w:hideMark/>
          </w:tcPr>
          <w:p w14:paraId="1F552516" w14:textId="77777777" w:rsidR="00C8627B" w:rsidRPr="00C8627B" w:rsidRDefault="00C8627B" w:rsidP="00C8627B">
            <w:pPr>
              <w:jc w:val="right"/>
              <w:rPr>
                <w:sz w:val="18"/>
                <w:szCs w:val="18"/>
                <w:lang w:eastAsia="pt-BR"/>
              </w:rPr>
            </w:pPr>
          </w:p>
        </w:tc>
        <w:tc>
          <w:tcPr>
            <w:tcW w:w="1291" w:type="dxa"/>
            <w:tcBorders>
              <w:top w:val="nil"/>
              <w:left w:val="nil"/>
              <w:bottom w:val="nil"/>
              <w:right w:val="nil"/>
            </w:tcBorders>
            <w:shd w:val="clear" w:color="auto" w:fill="auto"/>
            <w:noWrap/>
            <w:vAlign w:val="bottom"/>
            <w:hideMark/>
          </w:tcPr>
          <w:p w14:paraId="207C75A4" w14:textId="77777777" w:rsidR="00C8627B" w:rsidRPr="00C8627B" w:rsidRDefault="00C8627B" w:rsidP="00C8627B">
            <w:pPr>
              <w:jc w:val="right"/>
              <w:rPr>
                <w:sz w:val="18"/>
                <w:szCs w:val="18"/>
                <w:lang w:eastAsia="pt-BR"/>
              </w:rPr>
            </w:pPr>
          </w:p>
        </w:tc>
      </w:tr>
      <w:tr w:rsidR="00C8627B" w:rsidRPr="00C8627B" w14:paraId="6E86517A" w14:textId="77777777" w:rsidTr="00C8627B">
        <w:trPr>
          <w:trHeight w:val="232"/>
        </w:trPr>
        <w:tc>
          <w:tcPr>
            <w:tcW w:w="873" w:type="dxa"/>
            <w:tcBorders>
              <w:top w:val="single" w:sz="4" w:space="0" w:color="auto"/>
              <w:left w:val="single" w:sz="4" w:space="0" w:color="auto"/>
              <w:bottom w:val="nil"/>
              <w:right w:val="single" w:sz="4" w:space="0" w:color="auto"/>
            </w:tcBorders>
            <w:shd w:val="clear" w:color="000000" w:fill="F2F2F2"/>
            <w:noWrap/>
            <w:vAlign w:val="bottom"/>
            <w:hideMark/>
          </w:tcPr>
          <w:p w14:paraId="3113FD8D" w14:textId="77777777" w:rsidR="00C8627B" w:rsidRPr="00C8627B" w:rsidRDefault="00C8627B" w:rsidP="00C8627B">
            <w:pPr>
              <w:jc w:val="center"/>
              <w:rPr>
                <w:b/>
                <w:bCs/>
                <w:color w:val="000000"/>
                <w:sz w:val="18"/>
                <w:szCs w:val="18"/>
                <w:lang w:eastAsia="pt-BR"/>
              </w:rPr>
            </w:pPr>
            <w:r w:rsidRPr="00C8627B">
              <w:rPr>
                <w:b/>
                <w:bCs/>
                <w:color w:val="000000"/>
                <w:sz w:val="18"/>
                <w:szCs w:val="18"/>
                <w:lang w:eastAsia="pt-BR"/>
              </w:rPr>
              <w:t>2012</w:t>
            </w:r>
          </w:p>
        </w:tc>
        <w:tc>
          <w:tcPr>
            <w:tcW w:w="1182" w:type="dxa"/>
            <w:tcBorders>
              <w:top w:val="single" w:sz="4" w:space="0" w:color="auto"/>
              <w:left w:val="nil"/>
              <w:bottom w:val="single" w:sz="4" w:space="0" w:color="auto"/>
              <w:right w:val="nil"/>
            </w:tcBorders>
            <w:shd w:val="clear" w:color="000000" w:fill="F2F2F2"/>
            <w:noWrap/>
            <w:vAlign w:val="bottom"/>
            <w:hideMark/>
          </w:tcPr>
          <w:p w14:paraId="66F2CBEF" w14:textId="77777777" w:rsidR="00C8627B" w:rsidRPr="00C8627B" w:rsidRDefault="00C8627B" w:rsidP="00C8627B">
            <w:pPr>
              <w:jc w:val="right"/>
              <w:rPr>
                <w:color w:val="000000"/>
                <w:sz w:val="18"/>
                <w:szCs w:val="18"/>
                <w:lang w:eastAsia="pt-BR"/>
              </w:rPr>
            </w:pPr>
            <w:r w:rsidRPr="00C8627B">
              <w:rPr>
                <w:color w:val="000000"/>
                <w:sz w:val="18"/>
                <w:szCs w:val="18"/>
                <w:lang w:eastAsia="pt-BR"/>
              </w:rPr>
              <w:t>2,51</w:t>
            </w:r>
          </w:p>
        </w:tc>
        <w:tc>
          <w:tcPr>
            <w:tcW w:w="1618" w:type="dxa"/>
            <w:tcBorders>
              <w:top w:val="single" w:sz="4" w:space="0" w:color="auto"/>
              <w:left w:val="nil"/>
              <w:bottom w:val="single" w:sz="4" w:space="0" w:color="auto"/>
              <w:right w:val="nil"/>
            </w:tcBorders>
            <w:shd w:val="clear" w:color="000000" w:fill="F2F2F2"/>
            <w:noWrap/>
            <w:vAlign w:val="bottom"/>
            <w:hideMark/>
          </w:tcPr>
          <w:p w14:paraId="0B867521" w14:textId="77777777" w:rsidR="00C8627B" w:rsidRPr="00C8627B" w:rsidRDefault="00C8627B" w:rsidP="00C8627B">
            <w:pPr>
              <w:jc w:val="right"/>
              <w:rPr>
                <w:color w:val="000000"/>
                <w:sz w:val="18"/>
                <w:szCs w:val="18"/>
                <w:lang w:eastAsia="pt-BR"/>
              </w:rPr>
            </w:pPr>
            <w:r w:rsidRPr="00C8627B">
              <w:rPr>
                <w:color w:val="000000"/>
                <w:sz w:val="18"/>
                <w:szCs w:val="18"/>
                <w:lang w:eastAsia="pt-BR"/>
              </w:rPr>
              <w:t>3,07</w:t>
            </w:r>
          </w:p>
        </w:tc>
        <w:tc>
          <w:tcPr>
            <w:tcW w:w="1346" w:type="dxa"/>
            <w:tcBorders>
              <w:top w:val="single" w:sz="4" w:space="0" w:color="auto"/>
              <w:left w:val="nil"/>
              <w:bottom w:val="single" w:sz="4" w:space="0" w:color="auto"/>
              <w:right w:val="nil"/>
            </w:tcBorders>
            <w:shd w:val="clear" w:color="000000" w:fill="F2F2F2"/>
            <w:noWrap/>
            <w:vAlign w:val="bottom"/>
            <w:hideMark/>
          </w:tcPr>
          <w:p w14:paraId="40483CA5" w14:textId="77777777" w:rsidR="00C8627B" w:rsidRPr="00C8627B" w:rsidRDefault="00C8627B" w:rsidP="00C8627B">
            <w:pPr>
              <w:jc w:val="right"/>
              <w:rPr>
                <w:color w:val="000000"/>
                <w:sz w:val="18"/>
                <w:szCs w:val="18"/>
                <w:lang w:eastAsia="pt-BR"/>
              </w:rPr>
            </w:pPr>
            <w:r w:rsidRPr="00C8627B">
              <w:rPr>
                <w:color w:val="000000"/>
                <w:sz w:val="18"/>
                <w:szCs w:val="18"/>
                <w:lang w:eastAsia="pt-BR"/>
              </w:rPr>
              <w:t>3,12</w:t>
            </w:r>
          </w:p>
        </w:tc>
        <w:tc>
          <w:tcPr>
            <w:tcW w:w="1346" w:type="dxa"/>
            <w:tcBorders>
              <w:top w:val="single" w:sz="4" w:space="0" w:color="auto"/>
              <w:left w:val="nil"/>
              <w:bottom w:val="single" w:sz="4" w:space="0" w:color="auto"/>
              <w:right w:val="nil"/>
            </w:tcBorders>
            <w:shd w:val="clear" w:color="000000" w:fill="F2F2F2"/>
            <w:noWrap/>
            <w:vAlign w:val="bottom"/>
            <w:hideMark/>
          </w:tcPr>
          <w:p w14:paraId="2E4B4EA0" w14:textId="77777777" w:rsidR="00C8627B" w:rsidRPr="00C8627B" w:rsidRDefault="00C8627B" w:rsidP="00C8627B">
            <w:pPr>
              <w:jc w:val="right"/>
              <w:rPr>
                <w:color w:val="000000"/>
                <w:sz w:val="18"/>
                <w:szCs w:val="18"/>
                <w:lang w:eastAsia="pt-BR"/>
              </w:rPr>
            </w:pPr>
            <w:r w:rsidRPr="00C8627B">
              <w:rPr>
                <w:color w:val="000000"/>
                <w:sz w:val="18"/>
                <w:szCs w:val="18"/>
                <w:lang w:eastAsia="pt-BR"/>
              </w:rPr>
              <w:t>3,12</w:t>
            </w:r>
          </w:p>
        </w:tc>
        <w:tc>
          <w:tcPr>
            <w:tcW w:w="1564" w:type="dxa"/>
            <w:tcBorders>
              <w:top w:val="single" w:sz="4" w:space="0" w:color="auto"/>
              <w:left w:val="nil"/>
              <w:bottom w:val="single" w:sz="4" w:space="0" w:color="auto"/>
              <w:right w:val="nil"/>
            </w:tcBorders>
            <w:shd w:val="clear" w:color="000000" w:fill="F2F2F2"/>
            <w:noWrap/>
            <w:vAlign w:val="bottom"/>
            <w:hideMark/>
          </w:tcPr>
          <w:p w14:paraId="1A140AF2" w14:textId="77777777" w:rsidR="00C8627B" w:rsidRPr="00C8627B" w:rsidRDefault="00C8627B" w:rsidP="00C8627B">
            <w:pPr>
              <w:jc w:val="right"/>
              <w:rPr>
                <w:color w:val="000000"/>
                <w:sz w:val="18"/>
                <w:szCs w:val="18"/>
                <w:lang w:eastAsia="pt-BR"/>
              </w:rPr>
            </w:pPr>
            <w:r w:rsidRPr="00C8627B">
              <w:rPr>
                <w:color w:val="000000"/>
                <w:sz w:val="18"/>
                <w:szCs w:val="18"/>
                <w:lang w:eastAsia="pt-BR"/>
              </w:rPr>
              <w:t>3,42</w:t>
            </w:r>
          </w:p>
        </w:tc>
        <w:tc>
          <w:tcPr>
            <w:tcW w:w="1473" w:type="dxa"/>
            <w:tcBorders>
              <w:top w:val="single" w:sz="4" w:space="0" w:color="auto"/>
              <w:left w:val="nil"/>
              <w:bottom w:val="single" w:sz="4" w:space="0" w:color="auto"/>
              <w:right w:val="nil"/>
            </w:tcBorders>
            <w:shd w:val="clear" w:color="000000" w:fill="F2F2F2"/>
            <w:noWrap/>
            <w:vAlign w:val="bottom"/>
            <w:hideMark/>
          </w:tcPr>
          <w:p w14:paraId="0DF4AFF2" w14:textId="77777777" w:rsidR="00C8627B" w:rsidRPr="00C8627B" w:rsidRDefault="00C8627B" w:rsidP="00C8627B">
            <w:pPr>
              <w:jc w:val="right"/>
              <w:rPr>
                <w:color w:val="000000"/>
                <w:sz w:val="18"/>
                <w:szCs w:val="18"/>
                <w:lang w:eastAsia="pt-BR"/>
              </w:rPr>
            </w:pPr>
            <w:r w:rsidRPr="00C8627B">
              <w:rPr>
                <w:color w:val="000000"/>
                <w:sz w:val="18"/>
                <w:szCs w:val="18"/>
                <w:lang w:eastAsia="pt-BR"/>
              </w:rPr>
              <w:t>3,55</w:t>
            </w:r>
          </w:p>
        </w:tc>
        <w:tc>
          <w:tcPr>
            <w:tcW w:w="129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F0E9C12" w14:textId="77777777" w:rsidR="00C8627B" w:rsidRPr="00C8627B" w:rsidRDefault="00C8627B" w:rsidP="00C8627B">
            <w:pPr>
              <w:jc w:val="right"/>
              <w:rPr>
                <w:b/>
                <w:bCs/>
                <w:color w:val="000000"/>
                <w:sz w:val="18"/>
                <w:szCs w:val="18"/>
                <w:lang w:eastAsia="pt-BR"/>
              </w:rPr>
            </w:pPr>
            <w:r w:rsidRPr="00C8627B">
              <w:rPr>
                <w:b/>
                <w:bCs/>
                <w:color w:val="000000"/>
                <w:sz w:val="18"/>
                <w:szCs w:val="18"/>
                <w:lang w:eastAsia="pt-BR"/>
              </w:rPr>
              <w:t>SCORE</w:t>
            </w:r>
          </w:p>
        </w:tc>
      </w:tr>
      <w:tr w:rsidR="00C8627B" w:rsidRPr="00C8627B" w14:paraId="21B57DEF" w14:textId="77777777" w:rsidTr="00C8627B">
        <w:trPr>
          <w:trHeight w:val="232"/>
        </w:trPr>
        <w:tc>
          <w:tcPr>
            <w:tcW w:w="873" w:type="dxa"/>
            <w:tcBorders>
              <w:top w:val="nil"/>
              <w:left w:val="single" w:sz="4" w:space="0" w:color="auto"/>
              <w:bottom w:val="nil"/>
              <w:right w:val="single" w:sz="4" w:space="0" w:color="auto"/>
            </w:tcBorders>
            <w:shd w:val="clear" w:color="auto" w:fill="auto"/>
            <w:noWrap/>
            <w:vAlign w:val="bottom"/>
            <w:hideMark/>
          </w:tcPr>
          <w:p w14:paraId="31F0A7BD" w14:textId="77777777" w:rsidR="00C8627B" w:rsidRPr="00C8627B" w:rsidRDefault="00C8627B" w:rsidP="00C8627B">
            <w:pPr>
              <w:jc w:val="center"/>
              <w:rPr>
                <w:b/>
                <w:bCs/>
                <w:color w:val="000000"/>
                <w:sz w:val="18"/>
                <w:szCs w:val="18"/>
                <w:lang w:eastAsia="pt-BR"/>
              </w:rPr>
            </w:pPr>
            <w:r w:rsidRPr="00C8627B">
              <w:rPr>
                <w:b/>
                <w:bCs/>
                <w:color w:val="000000"/>
                <w:sz w:val="18"/>
                <w:szCs w:val="18"/>
                <w:lang w:eastAsia="pt-BR"/>
              </w:rPr>
              <w:t>LPI</w:t>
            </w:r>
          </w:p>
        </w:tc>
        <w:tc>
          <w:tcPr>
            <w:tcW w:w="1182" w:type="dxa"/>
            <w:tcBorders>
              <w:top w:val="nil"/>
              <w:left w:val="nil"/>
              <w:bottom w:val="nil"/>
              <w:right w:val="nil"/>
            </w:tcBorders>
            <w:shd w:val="clear" w:color="000000" w:fill="F8CBAD"/>
            <w:noWrap/>
            <w:vAlign w:val="bottom"/>
            <w:hideMark/>
          </w:tcPr>
          <w:p w14:paraId="785FBF38" w14:textId="77777777" w:rsidR="00C8627B" w:rsidRPr="00C8627B" w:rsidRDefault="00C8627B" w:rsidP="00C8627B">
            <w:pPr>
              <w:jc w:val="right"/>
              <w:rPr>
                <w:color w:val="000000"/>
                <w:sz w:val="18"/>
                <w:szCs w:val="18"/>
                <w:lang w:eastAsia="pt-BR"/>
              </w:rPr>
            </w:pPr>
            <w:r w:rsidRPr="00C8627B">
              <w:rPr>
                <w:color w:val="000000"/>
                <w:sz w:val="18"/>
                <w:szCs w:val="18"/>
                <w:lang w:eastAsia="pt-BR"/>
              </w:rPr>
              <w:t>0,41</w:t>
            </w:r>
          </w:p>
        </w:tc>
        <w:tc>
          <w:tcPr>
            <w:tcW w:w="1618" w:type="dxa"/>
            <w:tcBorders>
              <w:top w:val="nil"/>
              <w:left w:val="nil"/>
              <w:bottom w:val="nil"/>
              <w:right w:val="nil"/>
            </w:tcBorders>
            <w:shd w:val="clear" w:color="auto" w:fill="auto"/>
            <w:noWrap/>
            <w:vAlign w:val="bottom"/>
            <w:hideMark/>
          </w:tcPr>
          <w:p w14:paraId="0C37C514"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0,53</w:t>
            </w:r>
          </w:p>
        </w:tc>
        <w:tc>
          <w:tcPr>
            <w:tcW w:w="1346" w:type="dxa"/>
            <w:tcBorders>
              <w:top w:val="nil"/>
              <w:left w:val="nil"/>
              <w:bottom w:val="nil"/>
              <w:right w:val="nil"/>
            </w:tcBorders>
            <w:shd w:val="clear" w:color="000000" w:fill="FCE4D6"/>
            <w:noWrap/>
            <w:vAlign w:val="bottom"/>
            <w:hideMark/>
          </w:tcPr>
          <w:p w14:paraId="52903BF3"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0,51</w:t>
            </w:r>
          </w:p>
        </w:tc>
        <w:tc>
          <w:tcPr>
            <w:tcW w:w="1346" w:type="dxa"/>
            <w:tcBorders>
              <w:top w:val="nil"/>
              <w:left w:val="nil"/>
              <w:bottom w:val="nil"/>
              <w:right w:val="nil"/>
            </w:tcBorders>
            <w:shd w:val="clear" w:color="auto" w:fill="auto"/>
            <w:noWrap/>
            <w:vAlign w:val="bottom"/>
            <w:hideMark/>
          </w:tcPr>
          <w:p w14:paraId="0258AF26"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0,53</w:t>
            </w:r>
          </w:p>
        </w:tc>
        <w:tc>
          <w:tcPr>
            <w:tcW w:w="1564" w:type="dxa"/>
            <w:tcBorders>
              <w:top w:val="nil"/>
              <w:left w:val="nil"/>
              <w:bottom w:val="nil"/>
              <w:right w:val="nil"/>
            </w:tcBorders>
            <w:shd w:val="clear" w:color="000000" w:fill="D9E1F2"/>
            <w:noWrap/>
            <w:vAlign w:val="bottom"/>
            <w:hideMark/>
          </w:tcPr>
          <w:p w14:paraId="1F43FE6D"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0,57</w:t>
            </w:r>
          </w:p>
        </w:tc>
        <w:tc>
          <w:tcPr>
            <w:tcW w:w="1473" w:type="dxa"/>
            <w:tcBorders>
              <w:top w:val="nil"/>
              <w:left w:val="nil"/>
              <w:bottom w:val="nil"/>
              <w:right w:val="nil"/>
            </w:tcBorders>
            <w:shd w:val="clear" w:color="000000" w:fill="B4C6E7"/>
            <w:noWrap/>
            <w:vAlign w:val="bottom"/>
            <w:hideMark/>
          </w:tcPr>
          <w:p w14:paraId="0E84693B"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0,58</w:t>
            </w:r>
          </w:p>
        </w:tc>
        <w:tc>
          <w:tcPr>
            <w:tcW w:w="1291" w:type="dxa"/>
            <w:tcBorders>
              <w:top w:val="nil"/>
              <w:left w:val="single" w:sz="4" w:space="0" w:color="auto"/>
              <w:bottom w:val="nil"/>
              <w:right w:val="single" w:sz="4" w:space="0" w:color="auto"/>
            </w:tcBorders>
            <w:shd w:val="clear" w:color="auto" w:fill="auto"/>
            <w:noWrap/>
            <w:vAlign w:val="bottom"/>
            <w:hideMark/>
          </w:tcPr>
          <w:p w14:paraId="08C5A772" w14:textId="77777777" w:rsidR="00C8627B" w:rsidRPr="00C8627B" w:rsidRDefault="00C8627B" w:rsidP="00C8627B">
            <w:pPr>
              <w:jc w:val="right"/>
              <w:rPr>
                <w:color w:val="000000"/>
                <w:sz w:val="18"/>
                <w:szCs w:val="18"/>
                <w:lang w:eastAsia="pt-BR"/>
              </w:rPr>
            </w:pPr>
            <w:r w:rsidRPr="00C8627B">
              <w:rPr>
                <w:color w:val="000000"/>
                <w:sz w:val="18"/>
                <w:szCs w:val="18"/>
                <w:lang w:eastAsia="pt-BR"/>
              </w:rPr>
              <w:t>3,13</w:t>
            </w:r>
          </w:p>
        </w:tc>
      </w:tr>
      <w:tr w:rsidR="00C8627B" w:rsidRPr="00C8627B" w14:paraId="4F6052B5" w14:textId="77777777" w:rsidTr="00C8627B">
        <w:trPr>
          <w:trHeight w:val="232"/>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14:paraId="4AACF22C" w14:textId="77777777" w:rsidR="00C8627B" w:rsidRPr="00C8627B" w:rsidRDefault="00C8627B" w:rsidP="00C8627B">
            <w:pPr>
              <w:jc w:val="center"/>
              <w:rPr>
                <w:b/>
                <w:bCs/>
                <w:color w:val="000000"/>
                <w:sz w:val="18"/>
                <w:szCs w:val="18"/>
                <w:lang w:eastAsia="pt-BR"/>
              </w:rPr>
            </w:pPr>
            <w:proofErr w:type="spellStart"/>
            <w:proofErr w:type="gramStart"/>
            <w:r w:rsidRPr="00C8627B">
              <w:rPr>
                <w:b/>
                <w:bCs/>
                <w:color w:val="000000"/>
                <w:sz w:val="18"/>
                <w:szCs w:val="18"/>
                <w:lang w:eastAsia="pt-BR"/>
              </w:rPr>
              <w:t>LPIw</w:t>
            </w:r>
            <w:proofErr w:type="spellEnd"/>
            <w:proofErr w:type="gramEnd"/>
          </w:p>
        </w:tc>
        <w:tc>
          <w:tcPr>
            <w:tcW w:w="1182" w:type="dxa"/>
            <w:tcBorders>
              <w:top w:val="nil"/>
              <w:left w:val="nil"/>
              <w:bottom w:val="single" w:sz="4" w:space="0" w:color="auto"/>
              <w:right w:val="nil"/>
            </w:tcBorders>
            <w:shd w:val="clear" w:color="000000" w:fill="FCE4D6"/>
            <w:noWrap/>
            <w:vAlign w:val="bottom"/>
            <w:hideMark/>
          </w:tcPr>
          <w:p w14:paraId="67D34C3C" w14:textId="77777777" w:rsidR="00C8627B" w:rsidRPr="00C8627B" w:rsidRDefault="00C8627B" w:rsidP="00C8627B">
            <w:pPr>
              <w:jc w:val="right"/>
              <w:rPr>
                <w:color w:val="000000"/>
                <w:sz w:val="18"/>
                <w:szCs w:val="18"/>
                <w:lang w:eastAsia="pt-BR"/>
              </w:rPr>
            </w:pPr>
            <w:r w:rsidRPr="00C8627B">
              <w:rPr>
                <w:color w:val="000000"/>
                <w:sz w:val="18"/>
                <w:szCs w:val="18"/>
                <w:lang w:eastAsia="pt-BR"/>
              </w:rPr>
              <w:t>0,40</w:t>
            </w:r>
          </w:p>
        </w:tc>
        <w:tc>
          <w:tcPr>
            <w:tcW w:w="1618" w:type="dxa"/>
            <w:tcBorders>
              <w:top w:val="nil"/>
              <w:left w:val="nil"/>
              <w:bottom w:val="single" w:sz="4" w:space="0" w:color="auto"/>
              <w:right w:val="nil"/>
            </w:tcBorders>
            <w:shd w:val="clear" w:color="000000" w:fill="B4C6E7"/>
            <w:noWrap/>
            <w:vAlign w:val="bottom"/>
            <w:hideMark/>
          </w:tcPr>
          <w:p w14:paraId="30209A3A" w14:textId="77777777" w:rsidR="00C8627B" w:rsidRPr="00C8627B" w:rsidRDefault="00C8627B" w:rsidP="00C8627B">
            <w:pPr>
              <w:jc w:val="right"/>
              <w:rPr>
                <w:color w:val="000000"/>
                <w:sz w:val="18"/>
                <w:szCs w:val="18"/>
                <w:lang w:eastAsia="pt-BR"/>
              </w:rPr>
            </w:pPr>
            <w:r w:rsidRPr="00C8627B">
              <w:rPr>
                <w:color w:val="000000"/>
                <w:sz w:val="18"/>
                <w:szCs w:val="18"/>
                <w:lang w:eastAsia="pt-BR"/>
              </w:rPr>
              <w:t>0,74</w:t>
            </w:r>
          </w:p>
        </w:tc>
        <w:tc>
          <w:tcPr>
            <w:tcW w:w="1346" w:type="dxa"/>
            <w:tcBorders>
              <w:top w:val="nil"/>
              <w:left w:val="nil"/>
              <w:bottom w:val="single" w:sz="4" w:space="0" w:color="auto"/>
              <w:right w:val="nil"/>
            </w:tcBorders>
            <w:shd w:val="clear" w:color="auto" w:fill="auto"/>
            <w:noWrap/>
            <w:vAlign w:val="bottom"/>
            <w:hideMark/>
          </w:tcPr>
          <w:p w14:paraId="6DC96348" w14:textId="77777777" w:rsidR="00C8627B" w:rsidRPr="00C8627B" w:rsidRDefault="00C8627B" w:rsidP="00C8627B">
            <w:pPr>
              <w:jc w:val="right"/>
              <w:rPr>
                <w:color w:val="000000"/>
                <w:sz w:val="18"/>
                <w:szCs w:val="18"/>
                <w:lang w:eastAsia="pt-BR"/>
              </w:rPr>
            </w:pPr>
            <w:r w:rsidRPr="00C8627B">
              <w:rPr>
                <w:color w:val="000000"/>
                <w:sz w:val="18"/>
                <w:szCs w:val="18"/>
                <w:lang w:eastAsia="pt-BR"/>
              </w:rPr>
              <w:t>0,41</w:t>
            </w:r>
          </w:p>
        </w:tc>
        <w:tc>
          <w:tcPr>
            <w:tcW w:w="1346" w:type="dxa"/>
            <w:tcBorders>
              <w:top w:val="nil"/>
              <w:left w:val="nil"/>
              <w:bottom w:val="single" w:sz="4" w:space="0" w:color="auto"/>
              <w:right w:val="nil"/>
            </w:tcBorders>
            <w:shd w:val="clear" w:color="000000" w:fill="D9E1F2"/>
            <w:noWrap/>
            <w:vAlign w:val="bottom"/>
            <w:hideMark/>
          </w:tcPr>
          <w:p w14:paraId="61F2B48B" w14:textId="77777777" w:rsidR="00C8627B" w:rsidRPr="00C8627B" w:rsidRDefault="00C8627B" w:rsidP="00C8627B">
            <w:pPr>
              <w:jc w:val="right"/>
              <w:rPr>
                <w:color w:val="000000"/>
                <w:sz w:val="18"/>
                <w:szCs w:val="18"/>
                <w:lang w:eastAsia="pt-BR"/>
              </w:rPr>
            </w:pPr>
            <w:r w:rsidRPr="00C8627B">
              <w:rPr>
                <w:color w:val="000000"/>
                <w:sz w:val="18"/>
                <w:szCs w:val="18"/>
                <w:lang w:eastAsia="pt-BR"/>
              </w:rPr>
              <w:t>0,69</w:t>
            </w:r>
          </w:p>
        </w:tc>
        <w:tc>
          <w:tcPr>
            <w:tcW w:w="1564" w:type="dxa"/>
            <w:tcBorders>
              <w:top w:val="nil"/>
              <w:left w:val="nil"/>
              <w:bottom w:val="single" w:sz="4" w:space="0" w:color="auto"/>
              <w:right w:val="nil"/>
            </w:tcBorders>
            <w:shd w:val="clear" w:color="000000" w:fill="F8CBAD"/>
            <w:noWrap/>
            <w:vAlign w:val="bottom"/>
            <w:hideMark/>
          </w:tcPr>
          <w:p w14:paraId="37052E36" w14:textId="77777777" w:rsidR="00C8627B" w:rsidRPr="00C8627B" w:rsidRDefault="00C8627B" w:rsidP="00C8627B">
            <w:pPr>
              <w:jc w:val="right"/>
              <w:rPr>
                <w:color w:val="000000"/>
                <w:sz w:val="18"/>
                <w:szCs w:val="18"/>
                <w:lang w:eastAsia="pt-BR"/>
              </w:rPr>
            </w:pPr>
            <w:r w:rsidRPr="00C8627B">
              <w:rPr>
                <w:color w:val="000000"/>
                <w:sz w:val="18"/>
                <w:szCs w:val="18"/>
                <w:lang w:eastAsia="pt-BR"/>
              </w:rPr>
              <w:t>0,34</w:t>
            </w:r>
          </w:p>
        </w:tc>
        <w:tc>
          <w:tcPr>
            <w:tcW w:w="1473" w:type="dxa"/>
            <w:tcBorders>
              <w:top w:val="nil"/>
              <w:left w:val="nil"/>
              <w:bottom w:val="single" w:sz="4" w:space="0" w:color="auto"/>
              <w:right w:val="nil"/>
            </w:tcBorders>
            <w:shd w:val="clear" w:color="auto" w:fill="auto"/>
            <w:noWrap/>
            <w:vAlign w:val="bottom"/>
            <w:hideMark/>
          </w:tcPr>
          <w:p w14:paraId="5CCA8ECE"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0,57</w:t>
            </w:r>
          </w:p>
        </w:tc>
        <w:tc>
          <w:tcPr>
            <w:tcW w:w="1291" w:type="dxa"/>
            <w:tcBorders>
              <w:top w:val="nil"/>
              <w:left w:val="single" w:sz="4" w:space="0" w:color="auto"/>
              <w:bottom w:val="single" w:sz="4" w:space="0" w:color="auto"/>
              <w:right w:val="single" w:sz="4" w:space="0" w:color="auto"/>
            </w:tcBorders>
            <w:shd w:val="clear" w:color="000000" w:fill="44546A"/>
            <w:noWrap/>
            <w:vAlign w:val="bottom"/>
            <w:hideMark/>
          </w:tcPr>
          <w:p w14:paraId="61D54FB9" w14:textId="77777777" w:rsidR="00C8627B" w:rsidRPr="00C8627B" w:rsidRDefault="00C8627B" w:rsidP="00C8627B">
            <w:pPr>
              <w:jc w:val="right"/>
              <w:rPr>
                <w:b/>
                <w:bCs/>
                <w:color w:val="FFFFFF"/>
                <w:sz w:val="18"/>
                <w:szCs w:val="18"/>
                <w:lang w:eastAsia="pt-BR"/>
              </w:rPr>
            </w:pPr>
            <w:r w:rsidRPr="00C8627B">
              <w:rPr>
                <w:b/>
                <w:bCs/>
                <w:color w:val="FFFFFF"/>
                <w:sz w:val="18"/>
                <w:szCs w:val="18"/>
                <w:lang w:eastAsia="pt-BR"/>
              </w:rPr>
              <w:t>3,14</w:t>
            </w:r>
          </w:p>
        </w:tc>
      </w:tr>
      <w:tr w:rsidR="00C8627B" w:rsidRPr="00C8627B" w14:paraId="0259C14D" w14:textId="77777777" w:rsidTr="00C8627B">
        <w:trPr>
          <w:trHeight w:val="232"/>
        </w:trPr>
        <w:tc>
          <w:tcPr>
            <w:tcW w:w="873" w:type="dxa"/>
            <w:tcBorders>
              <w:top w:val="nil"/>
              <w:left w:val="nil"/>
              <w:bottom w:val="nil"/>
              <w:right w:val="nil"/>
            </w:tcBorders>
            <w:shd w:val="clear" w:color="auto" w:fill="auto"/>
            <w:noWrap/>
            <w:vAlign w:val="bottom"/>
            <w:hideMark/>
          </w:tcPr>
          <w:p w14:paraId="3D51D62D" w14:textId="77777777" w:rsidR="00C8627B" w:rsidRPr="00C8627B" w:rsidRDefault="00C8627B" w:rsidP="00C8627B">
            <w:pPr>
              <w:jc w:val="right"/>
              <w:rPr>
                <w:b/>
                <w:bCs/>
                <w:color w:val="FFFFFF"/>
                <w:sz w:val="18"/>
                <w:szCs w:val="18"/>
                <w:lang w:eastAsia="pt-BR"/>
              </w:rPr>
            </w:pPr>
          </w:p>
        </w:tc>
        <w:tc>
          <w:tcPr>
            <w:tcW w:w="1182" w:type="dxa"/>
            <w:tcBorders>
              <w:top w:val="nil"/>
              <w:left w:val="nil"/>
              <w:bottom w:val="nil"/>
              <w:right w:val="nil"/>
            </w:tcBorders>
            <w:shd w:val="clear" w:color="auto" w:fill="auto"/>
            <w:noWrap/>
            <w:vAlign w:val="bottom"/>
            <w:hideMark/>
          </w:tcPr>
          <w:p w14:paraId="07924FD2" w14:textId="77777777" w:rsidR="00C8627B" w:rsidRPr="00C8627B" w:rsidRDefault="00C8627B" w:rsidP="00C8627B">
            <w:pPr>
              <w:jc w:val="center"/>
              <w:rPr>
                <w:sz w:val="18"/>
                <w:szCs w:val="18"/>
                <w:lang w:eastAsia="pt-BR"/>
              </w:rPr>
            </w:pPr>
          </w:p>
        </w:tc>
        <w:tc>
          <w:tcPr>
            <w:tcW w:w="1618" w:type="dxa"/>
            <w:tcBorders>
              <w:top w:val="nil"/>
              <w:left w:val="nil"/>
              <w:bottom w:val="nil"/>
              <w:right w:val="nil"/>
            </w:tcBorders>
            <w:shd w:val="clear" w:color="auto" w:fill="auto"/>
            <w:noWrap/>
            <w:vAlign w:val="bottom"/>
            <w:hideMark/>
          </w:tcPr>
          <w:p w14:paraId="130CEC1B" w14:textId="77777777" w:rsidR="00C8627B" w:rsidRPr="00C8627B" w:rsidRDefault="00C8627B" w:rsidP="00C8627B">
            <w:pPr>
              <w:jc w:val="right"/>
              <w:rPr>
                <w:sz w:val="18"/>
                <w:szCs w:val="18"/>
                <w:lang w:eastAsia="pt-BR"/>
              </w:rPr>
            </w:pPr>
          </w:p>
        </w:tc>
        <w:tc>
          <w:tcPr>
            <w:tcW w:w="1346" w:type="dxa"/>
            <w:tcBorders>
              <w:top w:val="nil"/>
              <w:left w:val="nil"/>
              <w:bottom w:val="nil"/>
              <w:right w:val="nil"/>
            </w:tcBorders>
            <w:shd w:val="clear" w:color="auto" w:fill="auto"/>
            <w:noWrap/>
            <w:vAlign w:val="bottom"/>
            <w:hideMark/>
          </w:tcPr>
          <w:p w14:paraId="71CA7FDA" w14:textId="77777777" w:rsidR="00C8627B" w:rsidRPr="00C8627B" w:rsidRDefault="00C8627B" w:rsidP="00C8627B">
            <w:pPr>
              <w:jc w:val="right"/>
              <w:rPr>
                <w:sz w:val="18"/>
                <w:szCs w:val="18"/>
                <w:lang w:eastAsia="pt-BR"/>
              </w:rPr>
            </w:pPr>
          </w:p>
        </w:tc>
        <w:tc>
          <w:tcPr>
            <w:tcW w:w="1346" w:type="dxa"/>
            <w:tcBorders>
              <w:top w:val="nil"/>
              <w:left w:val="nil"/>
              <w:bottom w:val="nil"/>
              <w:right w:val="nil"/>
            </w:tcBorders>
            <w:shd w:val="clear" w:color="auto" w:fill="auto"/>
            <w:noWrap/>
            <w:vAlign w:val="bottom"/>
            <w:hideMark/>
          </w:tcPr>
          <w:p w14:paraId="0097C94F" w14:textId="77777777" w:rsidR="00C8627B" w:rsidRPr="00C8627B" w:rsidRDefault="00C8627B" w:rsidP="00C8627B">
            <w:pPr>
              <w:jc w:val="right"/>
              <w:rPr>
                <w:sz w:val="18"/>
                <w:szCs w:val="18"/>
                <w:lang w:eastAsia="pt-BR"/>
              </w:rPr>
            </w:pPr>
          </w:p>
        </w:tc>
        <w:tc>
          <w:tcPr>
            <w:tcW w:w="1564" w:type="dxa"/>
            <w:tcBorders>
              <w:top w:val="nil"/>
              <w:left w:val="nil"/>
              <w:bottom w:val="nil"/>
              <w:right w:val="nil"/>
            </w:tcBorders>
            <w:shd w:val="clear" w:color="auto" w:fill="auto"/>
            <w:noWrap/>
            <w:vAlign w:val="bottom"/>
            <w:hideMark/>
          </w:tcPr>
          <w:p w14:paraId="5A127998" w14:textId="77777777" w:rsidR="00C8627B" w:rsidRPr="00C8627B" w:rsidRDefault="00C8627B" w:rsidP="00C8627B">
            <w:pPr>
              <w:jc w:val="right"/>
              <w:rPr>
                <w:sz w:val="18"/>
                <w:szCs w:val="18"/>
                <w:lang w:eastAsia="pt-BR"/>
              </w:rPr>
            </w:pPr>
          </w:p>
        </w:tc>
        <w:tc>
          <w:tcPr>
            <w:tcW w:w="1473" w:type="dxa"/>
            <w:tcBorders>
              <w:top w:val="nil"/>
              <w:left w:val="nil"/>
              <w:bottom w:val="nil"/>
              <w:right w:val="nil"/>
            </w:tcBorders>
            <w:shd w:val="clear" w:color="auto" w:fill="auto"/>
            <w:noWrap/>
            <w:vAlign w:val="bottom"/>
            <w:hideMark/>
          </w:tcPr>
          <w:p w14:paraId="11CFA845" w14:textId="77777777" w:rsidR="00C8627B" w:rsidRPr="00C8627B" w:rsidRDefault="00C8627B" w:rsidP="00C8627B">
            <w:pPr>
              <w:jc w:val="right"/>
              <w:rPr>
                <w:sz w:val="18"/>
                <w:szCs w:val="18"/>
                <w:lang w:eastAsia="pt-BR"/>
              </w:rPr>
            </w:pPr>
          </w:p>
        </w:tc>
        <w:tc>
          <w:tcPr>
            <w:tcW w:w="1291" w:type="dxa"/>
            <w:tcBorders>
              <w:top w:val="nil"/>
              <w:left w:val="nil"/>
              <w:bottom w:val="nil"/>
              <w:right w:val="nil"/>
            </w:tcBorders>
            <w:shd w:val="clear" w:color="auto" w:fill="auto"/>
            <w:noWrap/>
            <w:vAlign w:val="bottom"/>
            <w:hideMark/>
          </w:tcPr>
          <w:p w14:paraId="66771B28" w14:textId="77777777" w:rsidR="00C8627B" w:rsidRPr="00C8627B" w:rsidRDefault="00C8627B" w:rsidP="00C8627B">
            <w:pPr>
              <w:jc w:val="right"/>
              <w:rPr>
                <w:sz w:val="18"/>
                <w:szCs w:val="18"/>
                <w:lang w:eastAsia="pt-BR"/>
              </w:rPr>
            </w:pPr>
          </w:p>
        </w:tc>
      </w:tr>
      <w:tr w:rsidR="00C8627B" w:rsidRPr="00C8627B" w14:paraId="7F8F41F9" w14:textId="77777777" w:rsidTr="00C8627B">
        <w:trPr>
          <w:trHeight w:val="232"/>
        </w:trPr>
        <w:tc>
          <w:tcPr>
            <w:tcW w:w="873" w:type="dxa"/>
            <w:tcBorders>
              <w:top w:val="single" w:sz="4" w:space="0" w:color="auto"/>
              <w:left w:val="single" w:sz="4" w:space="0" w:color="auto"/>
              <w:bottom w:val="nil"/>
              <w:right w:val="single" w:sz="4" w:space="0" w:color="auto"/>
            </w:tcBorders>
            <w:shd w:val="clear" w:color="000000" w:fill="F2F2F2"/>
            <w:noWrap/>
            <w:vAlign w:val="bottom"/>
            <w:hideMark/>
          </w:tcPr>
          <w:p w14:paraId="48594C70" w14:textId="77777777" w:rsidR="00C8627B" w:rsidRPr="00C8627B" w:rsidRDefault="00C8627B" w:rsidP="00C8627B">
            <w:pPr>
              <w:jc w:val="center"/>
              <w:rPr>
                <w:b/>
                <w:bCs/>
                <w:color w:val="000000"/>
                <w:sz w:val="18"/>
                <w:szCs w:val="18"/>
                <w:lang w:eastAsia="pt-BR"/>
              </w:rPr>
            </w:pPr>
            <w:r w:rsidRPr="00C8627B">
              <w:rPr>
                <w:b/>
                <w:bCs/>
                <w:color w:val="000000"/>
                <w:sz w:val="18"/>
                <w:szCs w:val="18"/>
                <w:lang w:eastAsia="pt-BR"/>
              </w:rPr>
              <w:t>2014</w:t>
            </w:r>
          </w:p>
        </w:tc>
        <w:tc>
          <w:tcPr>
            <w:tcW w:w="1182" w:type="dxa"/>
            <w:tcBorders>
              <w:top w:val="single" w:sz="4" w:space="0" w:color="auto"/>
              <w:left w:val="nil"/>
              <w:bottom w:val="single" w:sz="4" w:space="0" w:color="auto"/>
              <w:right w:val="nil"/>
            </w:tcBorders>
            <w:shd w:val="clear" w:color="000000" w:fill="F2F2F2"/>
            <w:noWrap/>
            <w:vAlign w:val="bottom"/>
            <w:hideMark/>
          </w:tcPr>
          <w:p w14:paraId="24D637A3" w14:textId="77777777" w:rsidR="00C8627B" w:rsidRPr="00C8627B" w:rsidRDefault="00C8627B" w:rsidP="00C8627B">
            <w:pPr>
              <w:jc w:val="right"/>
              <w:rPr>
                <w:color w:val="000000"/>
                <w:sz w:val="18"/>
                <w:szCs w:val="18"/>
                <w:lang w:eastAsia="pt-BR"/>
              </w:rPr>
            </w:pPr>
            <w:r w:rsidRPr="00C8627B">
              <w:rPr>
                <w:color w:val="000000"/>
                <w:sz w:val="18"/>
                <w:szCs w:val="18"/>
                <w:lang w:eastAsia="pt-BR"/>
              </w:rPr>
              <w:t>2,48</w:t>
            </w:r>
          </w:p>
        </w:tc>
        <w:tc>
          <w:tcPr>
            <w:tcW w:w="1618" w:type="dxa"/>
            <w:tcBorders>
              <w:top w:val="single" w:sz="4" w:space="0" w:color="auto"/>
              <w:left w:val="nil"/>
              <w:bottom w:val="single" w:sz="4" w:space="0" w:color="auto"/>
              <w:right w:val="nil"/>
            </w:tcBorders>
            <w:shd w:val="clear" w:color="000000" w:fill="F2F2F2"/>
            <w:noWrap/>
            <w:vAlign w:val="bottom"/>
            <w:hideMark/>
          </w:tcPr>
          <w:p w14:paraId="4921359E" w14:textId="77777777" w:rsidR="00C8627B" w:rsidRPr="00C8627B" w:rsidRDefault="00C8627B" w:rsidP="00C8627B">
            <w:pPr>
              <w:jc w:val="right"/>
              <w:rPr>
                <w:color w:val="000000"/>
                <w:sz w:val="18"/>
                <w:szCs w:val="18"/>
                <w:lang w:eastAsia="pt-BR"/>
              </w:rPr>
            </w:pPr>
            <w:r w:rsidRPr="00C8627B">
              <w:rPr>
                <w:color w:val="000000"/>
                <w:sz w:val="18"/>
                <w:szCs w:val="18"/>
                <w:lang w:eastAsia="pt-BR"/>
              </w:rPr>
              <w:t>2,93</w:t>
            </w:r>
          </w:p>
        </w:tc>
        <w:tc>
          <w:tcPr>
            <w:tcW w:w="1346" w:type="dxa"/>
            <w:tcBorders>
              <w:top w:val="single" w:sz="4" w:space="0" w:color="auto"/>
              <w:left w:val="nil"/>
              <w:bottom w:val="single" w:sz="4" w:space="0" w:color="auto"/>
              <w:right w:val="nil"/>
            </w:tcBorders>
            <w:shd w:val="clear" w:color="000000" w:fill="F2F2F2"/>
            <w:noWrap/>
            <w:vAlign w:val="bottom"/>
            <w:hideMark/>
          </w:tcPr>
          <w:p w14:paraId="1A12BA3A" w14:textId="77777777" w:rsidR="00C8627B" w:rsidRPr="00C8627B" w:rsidRDefault="00C8627B" w:rsidP="00C8627B">
            <w:pPr>
              <w:jc w:val="right"/>
              <w:rPr>
                <w:color w:val="000000"/>
                <w:sz w:val="18"/>
                <w:szCs w:val="18"/>
                <w:lang w:eastAsia="pt-BR"/>
              </w:rPr>
            </w:pPr>
            <w:r w:rsidRPr="00C8627B">
              <w:rPr>
                <w:color w:val="000000"/>
                <w:sz w:val="18"/>
                <w:szCs w:val="18"/>
                <w:lang w:eastAsia="pt-BR"/>
              </w:rPr>
              <w:t>2,80</w:t>
            </w:r>
          </w:p>
        </w:tc>
        <w:tc>
          <w:tcPr>
            <w:tcW w:w="1346" w:type="dxa"/>
            <w:tcBorders>
              <w:top w:val="single" w:sz="4" w:space="0" w:color="auto"/>
              <w:left w:val="nil"/>
              <w:bottom w:val="single" w:sz="4" w:space="0" w:color="auto"/>
              <w:right w:val="nil"/>
            </w:tcBorders>
            <w:shd w:val="clear" w:color="000000" w:fill="F2F2F2"/>
            <w:noWrap/>
            <w:vAlign w:val="bottom"/>
            <w:hideMark/>
          </w:tcPr>
          <w:p w14:paraId="5B7F1604" w14:textId="77777777" w:rsidR="00C8627B" w:rsidRPr="00C8627B" w:rsidRDefault="00C8627B" w:rsidP="00C8627B">
            <w:pPr>
              <w:jc w:val="right"/>
              <w:rPr>
                <w:color w:val="000000"/>
                <w:sz w:val="18"/>
                <w:szCs w:val="18"/>
                <w:lang w:eastAsia="pt-BR"/>
              </w:rPr>
            </w:pPr>
            <w:r w:rsidRPr="00C8627B">
              <w:rPr>
                <w:color w:val="000000"/>
                <w:sz w:val="18"/>
                <w:szCs w:val="18"/>
                <w:lang w:eastAsia="pt-BR"/>
              </w:rPr>
              <w:t>3,05</w:t>
            </w:r>
          </w:p>
        </w:tc>
        <w:tc>
          <w:tcPr>
            <w:tcW w:w="1564" w:type="dxa"/>
            <w:tcBorders>
              <w:top w:val="single" w:sz="4" w:space="0" w:color="auto"/>
              <w:left w:val="nil"/>
              <w:bottom w:val="single" w:sz="4" w:space="0" w:color="auto"/>
              <w:right w:val="nil"/>
            </w:tcBorders>
            <w:shd w:val="clear" w:color="000000" w:fill="F2F2F2"/>
            <w:noWrap/>
            <w:vAlign w:val="bottom"/>
            <w:hideMark/>
          </w:tcPr>
          <w:p w14:paraId="357C7437" w14:textId="77777777" w:rsidR="00C8627B" w:rsidRPr="00C8627B" w:rsidRDefault="00C8627B" w:rsidP="00C8627B">
            <w:pPr>
              <w:jc w:val="right"/>
              <w:rPr>
                <w:color w:val="000000"/>
                <w:sz w:val="18"/>
                <w:szCs w:val="18"/>
                <w:lang w:eastAsia="pt-BR"/>
              </w:rPr>
            </w:pPr>
            <w:r w:rsidRPr="00C8627B">
              <w:rPr>
                <w:color w:val="000000"/>
                <w:sz w:val="18"/>
                <w:szCs w:val="18"/>
                <w:lang w:eastAsia="pt-BR"/>
              </w:rPr>
              <w:t>3,03</w:t>
            </w:r>
          </w:p>
        </w:tc>
        <w:tc>
          <w:tcPr>
            <w:tcW w:w="1473" w:type="dxa"/>
            <w:tcBorders>
              <w:top w:val="single" w:sz="4" w:space="0" w:color="auto"/>
              <w:left w:val="nil"/>
              <w:bottom w:val="single" w:sz="4" w:space="0" w:color="auto"/>
              <w:right w:val="single" w:sz="4" w:space="0" w:color="auto"/>
            </w:tcBorders>
            <w:shd w:val="clear" w:color="000000" w:fill="F2F2F2"/>
            <w:noWrap/>
            <w:vAlign w:val="bottom"/>
            <w:hideMark/>
          </w:tcPr>
          <w:p w14:paraId="028336E1" w14:textId="77777777" w:rsidR="00C8627B" w:rsidRPr="00C8627B" w:rsidRDefault="00C8627B" w:rsidP="00C8627B">
            <w:pPr>
              <w:jc w:val="right"/>
              <w:rPr>
                <w:color w:val="000000"/>
                <w:sz w:val="18"/>
                <w:szCs w:val="18"/>
                <w:lang w:eastAsia="pt-BR"/>
              </w:rPr>
            </w:pPr>
            <w:r w:rsidRPr="00C8627B">
              <w:rPr>
                <w:color w:val="000000"/>
                <w:sz w:val="18"/>
                <w:szCs w:val="18"/>
                <w:lang w:eastAsia="pt-BR"/>
              </w:rPr>
              <w:t>3,39</w:t>
            </w:r>
          </w:p>
        </w:tc>
        <w:tc>
          <w:tcPr>
            <w:tcW w:w="1291" w:type="dxa"/>
            <w:tcBorders>
              <w:top w:val="single" w:sz="4" w:space="0" w:color="auto"/>
              <w:left w:val="nil"/>
              <w:bottom w:val="single" w:sz="4" w:space="0" w:color="auto"/>
              <w:right w:val="single" w:sz="4" w:space="0" w:color="auto"/>
            </w:tcBorders>
            <w:shd w:val="clear" w:color="000000" w:fill="F2F2F2"/>
            <w:noWrap/>
            <w:vAlign w:val="bottom"/>
            <w:hideMark/>
          </w:tcPr>
          <w:p w14:paraId="7EDD017E" w14:textId="77777777" w:rsidR="00C8627B" w:rsidRPr="00C8627B" w:rsidRDefault="00C8627B" w:rsidP="00C8627B">
            <w:pPr>
              <w:jc w:val="right"/>
              <w:rPr>
                <w:b/>
                <w:bCs/>
                <w:color w:val="000000"/>
                <w:sz w:val="18"/>
                <w:szCs w:val="18"/>
                <w:lang w:eastAsia="pt-BR"/>
              </w:rPr>
            </w:pPr>
            <w:r w:rsidRPr="00C8627B">
              <w:rPr>
                <w:b/>
                <w:bCs/>
                <w:color w:val="000000"/>
                <w:sz w:val="18"/>
                <w:szCs w:val="18"/>
                <w:lang w:eastAsia="pt-BR"/>
              </w:rPr>
              <w:t>SCORE</w:t>
            </w:r>
          </w:p>
        </w:tc>
      </w:tr>
      <w:tr w:rsidR="00C8627B" w:rsidRPr="00C8627B" w14:paraId="3B81B89F" w14:textId="77777777" w:rsidTr="00C8627B">
        <w:trPr>
          <w:trHeight w:val="232"/>
        </w:trPr>
        <w:tc>
          <w:tcPr>
            <w:tcW w:w="873" w:type="dxa"/>
            <w:tcBorders>
              <w:top w:val="nil"/>
              <w:left w:val="single" w:sz="4" w:space="0" w:color="auto"/>
              <w:bottom w:val="nil"/>
              <w:right w:val="single" w:sz="4" w:space="0" w:color="auto"/>
            </w:tcBorders>
            <w:shd w:val="clear" w:color="auto" w:fill="auto"/>
            <w:noWrap/>
            <w:vAlign w:val="bottom"/>
            <w:hideMark/>
          </w:tcPr>
          <w:p w14:paraId="35E2E053" w14:textId="77777777" w:rsidR="00C8627B" w:rsidRPr="00C8627B" w:rsidRDefault="00C8627B" w:rsidP="00C8627B">
            <w:pPr>
              <w:jc w:val="center"/>
              <w:rPr>
                <w:b/>
                <w:bCs/>
                <w:color w:val="000000"/>
                <w:sz w:val="18"/>
                <w:szCs w:val="18"/>
                <w:lang w:eastAsia="pt-BR"/>
              </w:rPr>
            </w:pPr>
            <w:r w:rsidRPr="00C8627B">
              <w:rPr>
                <w:b/>
                <w:bCs/>
                <w:color w:val="000000"/>
                <w:sz w:val="18"/>
                <w:szCs w:val="18"/>
                <w:lang w:eastAsia="pt-BR"/>
              </w:rPr>
              <w:t>LPI</w:t>
            </w:r>
          </w:p>
        </w:tc>
        <w:tc>
          <w:tcPr>
            <w:tcW w:w="1182" w:type="dxa"/>
            <w:tcBorders>
              <w:top w:val="nil"/>
              <w:left w:val="nil"/>
              <w:bottom w:val="nil"/>
              <w:right w:val="nil"/>
            </w:tcBorders>
            <w:shd w:val="clear" w:color="000000" w:fill="F8CBAD"/>
            <w:noWrap/>
            <w:vAlign w:val="bottom"/>
            <w:hideMark/>
          </w:tcPr>
          <w:p w14:paraId="5BC49529" w14:textId="77777777" w:rsidR="00C8627B" w:rsidRPr="00C8627B" w:rsidRDefault="00C8627B" w:rsidP="00C8627B">
            <w:pPr>
              <w:jc w:val="right"/>
              <w:rPr>
                <w:color w:val="000000"/>
                <w:sz w:val="18"/>
                <w:szCs w:val="18"/>
                <w:lang w:eastAsia="pt-BR"/>
              </w:rPr>
            </w:pPr>
            <w:r w:rsidRPr="00C8627B">
              <w:rPr>
                <w:color w:val="000000"/>
                <w:sz w:val="18"/>
                <w:szCs w:val="18"/>
                <w:lang w:eastAsia="pt-BR"/>
              </w:rPr>
              <w:t>0,41</w:t>
            </w:r>
          </w:p>
        </w:tc>
        <w:tc>
          <w:tcPr>
            <w:tcW w:w="1618" w:type="dxa"/>
            <w:tcBorders>
              <w:top w:val="nil"/>
              <w:left w:val="nil"/>
              <w:bottom w:val="nil"/>
              <w:right w:val="nil"/>
            </w:tcBorders>
            <w:shd w:val="clear" w:color="auto" w:fill="auto"/>
            <w:noWrap/>
            <w:vAlign w:val="bottom"/>
            <w:hideMark/>
          </w:tcPr>
          <w:p w14:paraId="1F9B2AE6"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0,50</w:t>
            </w:r>
          </w:p>
        </w:tc>
        <w:tc>
          <w:tcPr>
            <w:tcW w:w="1346" w:type="dxa"/>
            <w:tcBorders>
              <w:top w:val="nil"/>
              <w:left w:val="nil"/>
              <w:bottom w:val="nil"/>
              <w:right w:val="nil"/>
            </w:tcBorders>
            <w:shd w:val="clear" w:color="auto" w:fill="FDE9D9" w:themeFill="accent6" w:themeFillTint="33"/>
            <w:noWrap/>
            <w:vAlign w:val="bottom"/>
            <w:hideMark/>
          </w:tcPr>
          <w:p w14:paraId="1EC98DB4" w14:textId="77777777" w:rsidR="00C8627B" w:rsidRPr="00C8627B" w:rsidRDefault="00C8627B" w:rsidP="00C8627B">
            <w:pPr>
              <w:jc w:val="right"/>
              <w:rPr>
                <w:color w:val="000000"/>
                <w:sz w:val="18"/>
                <w:szCs w:val="18"/>
                <w:lang w:eastAsia="pt-BR"/>
              </w:rPr>
            </w:pPr>
            <w:r w:rsidRPr="00C8627B">
              <w:rPr>
                <w:color w:val="000000"/>
                <w:sz w:val="18"/>
                <w:szCs w:val="18"/>
                <w:lang w:eastAsia="pt-BR"/>
              </w:rPr>
              <w:t>0,46</w:t>
            </w:r>
          </w:p>
        </w:tc>
        <w:tc>
          <w:tcPr>
            <w:tcW w:w="1346" w:type="dxa"/>
            <w:tcBorders>
              <w:top w:val="nil"/>
              <w:left w:val="nil"/>
              <w:bottom w:val="nil"/>
              <w:right w:val="nil"/>
            </w:tcBorders>
            <w:shd w:val="clear" w:color="000000" w:fill="D9E1F2"/>
            <w:noWrap/>
            <w:vAlign w:val="bottom"/>
            <w:hideMark/>
          </w:tcPr>
          <w:p w14:paraId="354DE531"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0,52</w:t>
            </w:r>
          </w:p>
        </w:tc>
        <w:tc>
          <w:tcPr>
            <w:tcW w:w="1564" w:type="dxa"/>
            <w:tcBorders>
              <w:top w:val="nil"/>
              <w:left w:val="nil"/>
              <w:bottom w:val="nil"/>
              <w:right w:val="nil"/>
            </w:tcBorders>
            <w:shd w:val="clear" w:color="auto" w:fill="auto"/>
            <w:noWrap/>
            <w:vAlign w:val="bottom"/>
            <w:hideMark/>
          </w:tcPr>
          <w:p w14:paraId="085E687D"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0,51</w:t>
            </w:r>
          </w:p>
        </w:tc>
        <w:tc>
          <w:tcPr>
            <w:tcW w:w="1473" w:type="dxa"/>
            <w:tcBorders>
              <w:top w:val="nil"/>
              <w:left w:val="nil"/>
              <w:bottom w:val="nil"/>
              <w:right w:val="nil"/>
            </w:tcBorders>
            <w:shd w:val="clear" w:color="000000" w:fill="B4C6E7"/>
            <w:noWrap/>
            <w:vAlign w:val="bottom"/>
            <w:hideMark/>
          </w:tcPr>
          <w:p w14:paraId="28DB352A"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0,55</w:t>
            </w:r>
          </w:p>
        </w:tc>
        <w:tc>
          <w:tcPr>
            <w:tcW w:w="1291" w:type="dxa"/>
            <w:tcBorders>
              <w:top w:val="nil"/>
              <w:left w:val="single" w:sz="4" w:space="0" w:color="auto"/>
              <w:bottom w:val="nil"/>
              <w:right w:val="single" w:sz="4" w:space="0" w:color="auto"/>
            </w:tcBorders>
            <w:shd w:val="clear" w:color="auto" w:fill="auto"/>
            <w:noWrap/>
            <w:vAlign w:val="bottom"/>
            <w:hideMark/>
          </w:tcPr>
          <w:p w14:paraId="7C93571C" w14:textId="77777777" w:rsidR="00C8627B" w:rsidRPr="00C8627B" w:rsidRDefault="00C8627B" w:rsidP="00C8627B">
            <w:pPr>
              <w:jc w:val="right"/>
              <w:rPr>
                <w:color w:val="000000"/>
                <w:sz w:val="18"/>
                <w:szCs w:val="18"/>
                <w:lang w:eastAsia="pt-BR"/>
              </w:rPr>
            </w:pPr>
            <w:r w:rsidRPr="00C8627B">
              <w:rPr>
                <w:color w:val="000000"/>
                <w:sz w:val="18"/>
                <w:szCs w:val="18"/>
                <w:lang w:eastAsia="pt-BR"/>
              </w:rPr>
              <w:t>2,95</w:t>
            </w:r>
          </w:p>
        </w:tc>
      </w:tr>
      <w:tr w:rsidR="00C8627B" w:rsidRPr="00C8627B" w14:paraId="70E15781" w14:textId="77777777" w:rsidTr="00C8627B">
        <w:trPr>
          <w:trHeight w:val="232"/>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14:paraId="7A947184" w14:textId="77777777" w:rsidR="00C8627B" w:rsidRPr="00C8627B" w:rsidRDefault="00C8627B" w:rsidP="00C8627B">
            <w:pPr>
              <w:jc w:val="center"/>
              <w:rPr>
                <w:b/>
                <w:bCs/>
                <w:color w:val="000000"/>
                <w:sz w:val="18"/>
                <w:szCs w:val="18"/>
                <w:lang w:eastAsia="pt-BR"/>
              </w:rPr>
            </w:pPr>
            <w:proofErr w:type="spellStart"/>
            <w:proofErr w:type="gramStart"/>
            <w:r w:rsidRPr="00C8627B">
              <w:rPr>
                <w:b/>
                <w:bCs/>
                <w:color w:val="000000"/>
                <w:sz w:val="18"/>
                <w:szCs w:val="18"/>
                <w:lang w:eastAsia="pt-BR"/>
              </w:rPr>
              <w:t>LPIw</w:t>
            </w:r>
            <w:proofErr w:type="spellEnd"/>
            <w:proofErr w:type="gramEnd"/>
          </w:p>
        </w:tc>
        <w:tc>
          <w:tcPr>
            <w:tcW w:w="1182" w:type="dxa"/>
            <w:tcBorders>
              <w:top w:val="nil"/>
              <w:left w:val="nil"/>
              <w:bottom w:val="single" w:sz="4" w:space="0" w:color="auto"/>
              <w:right w:val="nil"/>
            </w:tcBorders>
            <w:shd w:val="clear" w:color="auto" w:fill="auto"/>
            <w:noWrap/>
            <w:vAlign w:val="bottom"/>
            <w:hideMark/>
          </w:tcPr>
          <w:p w14:paraId="2BD3D947" w14:textId="77777777" w:rsidR="00C8627B" w:rsidRPr="00C8627B" w:rsidRDefault="00C8627B" w:rsidP="00C8627B">
            <w:pPr>
              <w:jc w:val="right"/>
              <w:rPr>
                <w:color w:val="000000"/>
                <w:sz w:val="18"/>
                <w:szCs w:val="18"/>
                <w:lang w:eastAsia="pt-BR"/>
              </w:rPr>
            </w:pPr>
            <w:r w:rsidRPr="00C8627B">
              <w:rPr>
                <w:color w:val="000000"/>
                <w:sz w:val="18"/>
                <w:szCs w:val="18"/>
                <w:lang w:eastAsia="pt-BR"/>
              </w:rPr>
              <w:t>0,40</w:t>
            </w:r>
          </w:p>
        </w:tc>
        <w:tc>
          <w:tcPr>
            <w:tcW w:w="1618" w:type="dxa"/>
            <w:tcBorders>
              <w:top w:val="nil"/>
              <w:left w:val="nil"/>
              <w:bottom w:val="single" w:sz="4" w:space="0" w:color="auto"/>
              <w:right w:val="nil"/>
            </w:tcBorders>
            <w:shd w:val="clear" w:color="000000" w:fill="B4C6E7"/>
            <w:noWrap/>
            <w:vAlign w:val="bottom"/>
            <w:hideMark/>
          </w:tcPr>
          <w:p w14:paraId="79434A3D" w14:textId="77777777" w:rsidR="00C8627B" w:rsidRPr="00C8627B" w:rsidRDefault="00C8627B" w:rsidP="00C8627B">
            <w:pPr>
              <w:jc w:val="right"/>
              <w:rPr>
                <w:color w:val="000000"/>
                <w:sz w:val="18"/>
                <w:szCs w:val="18"/>
                <w:lang w:eastAsia="pt-BR"/>
              </w:rPr>
            </w:pPr>
            <w:r w:rsidRPr="00C8627B">
              <w:rPr>
                <w:color w:val="000000"/>
                <w:sz w:val="18"/>
                <w:szCs w:val="18"/>
                <w:lang w:eastAsia="pt-BR"/>
              </w:rPr>
              <w:t>0,70</w:t>
            </w:r>
          </w:p>
        </w:tc>
        <w:tc>
          <w:tcPr>
            <w:tcW w:w="1346" w:type="dxa"/>
            <w:tcBorders>
              <w:top w:val="nil"/>
              <w:left w:val="nil"/>
              <w:bottom w:val="single" w:sz="4" w:space="0" w:color="auto"/>
              <w:right w:val="nil"/>
            </w:tcBorders>
            <w:shd w:val="clear" w:color="000000" w:fill="FCE4D6"/>
            <w:noWrap/>
            <w:vAlign w:val="bottom"/>
            <w:hideMark/>
          </w:tcPr>
          <w:p w14:paraId="2583F103" w14:textId="77777777" w:rsidR="00C8627B" w:rsidRPr="00C8627B" w:rsidRDefault="00C8627B" w:rsidP="00C8627B">
            <w:pPr>
              <w:jc w:val="right"/>
              <w:rPr>
                <w:color w:val="000000"/>
                <w:sz w:val="18"/>
                <w:szCs w:val="18"/>
                <w:lang w:eastAsia="pt-BR"/>
              </w:rPr>
            </w:pPr>
            <w:r w:rsidRPr="00C8627B">
              <w:rPr>
                <w:color w:val="000000"/>
                <w:sz w:val="18"/>
                <w:szCs w:val="18"/>
                <w:lang w:eastAsia="pt-BR"/>
              </w:rPr>
              <w:t>0,36</w:t>
            </w:r>
          </w:p>
        </w:tc>
        <w:tc>
          <w:tcPr>
            <w:tcW w:w="1346" w:type="dxa"/>
            <w:tcBorders>
              <w:top w:val="nil"/>
              <w:left w:val="nil"/>
              <w:bottom w:val="single" w:sz="4" w:space="0" w:color="auto"/>
              <w:right w:val="nil"/>
            </w:tcBorders>
            <w:shd w:val="clear" w:color="000000" w:fill="D9E1F2"/>
            <w:noWrap/>
            <w:vAlign w:val="bottom"/>
            <w:hideMark/>
          </w:tcPr>
          <w:p w14:paraId="51C1B477" w14:textId="77777777" w:rsidR="00C8627B" w:rsidRPr="00C8627B" w:rsidRDefault="00C8627B" w:rsidP="00C8627B">
            <w:pPr>
              <w:jc w:val="right"/>
              <w:rPr>
                <w:color w:val="000000"/>
                <w:sz w:val="18"/>
                <w:szCs w:val="18"/>
                <w:lang w:eastAsia="pt-BR"/>
              </w:rPr>
            </w:pPr>
            <w:r w:rsidRPr="00C8627B">
              <w:rPr>
                <w:color w:val="000000"/>
                <w:sz w:val="18"/>
                <w:szCs w:val="18"/>
                <w:lang w:eastAsia="pt-BR"/>
              </w:rPr>
              <w:t>0,67</w:t>
            </w:r>
          </w:p>
        </w:tc>
        <w:tc>
          <w:tcPr>
            <w:tcW w:w="1564" w:type="dxa"/>
            <w:tcBorders>
              <w:top w:val="nil"/>
              <w:left w:val="nil"/>
              <w:bottom w:val="single" w:sz="4" w:space="0" w:color="auto"/>
              <w:right w:val="nil"/>
            </w:tcBorders>
            <w:shd w:val="clear" w:color="000000" w:fill="F8CBAD"/>
            <w:noWrap/>
            <w:vAlign w:val="bottom"/>
            <w:hideMark/>
          </w:tcPr>
          <w:p w14:paraId="0F3511CD" w14:textId="77777777" w:rsidR="00C8627B" w:rsidRPr="00C8627B" w:rsidRDefault="00C8627B" w:rsidP="00C8627B">
            <w:pPr>
              <w:jc w:val="right"/>
              <w:rPr>
                <w:color w:val="000000"/>
                <w:sz w:val="18"/>
                <w:szCs w:val="18"/>
                <w:lang w:eastAsia="pt-BR"/>
              </w:rPr>
            </w:pPr>
            <w:r w:rsidRPr="00C8627B">
              <w:rPr>
                <w:color w:val="000000"/>
                <w:sz w:val="18"/>
                <w:szCs w:val="18"/>
                <w:lang w:eastAsia="pt-BR"/>
              </w:rPr>
              <w:t>0,30</w:t>
            </w:r>
          </w:p>
        </w:tc>
        <w:tc>
          <w:tcPr>
            <w:tcW w:w="1473" w:type="dxa"/>
            <w:tcBorders>
              <w:top w:val="nil"/>
              <w:left w:val="nil"/>
              <w:bottom w:val="single" w:sz="4" w:space="0" w:color="auto"/>
              <w:right w:val="nil"/>
            </w:tcBorders>
            <w:shd w:val="clear" w:color="auto" w:fill="auto"/>
            <w:noWrap/>
            <w:vAlign w:val="bottom"/>
            <w:hideMark/>
          </w:tcPr>
          <w:p w14:paraId="01F88D6A"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0,54</w:t>
            </w:r>
          </w:p>
        </w:tc>
        <w:tc>
          <w:tcPr>
            <w:tcW w:w="1291" w:type="dxa"/>
            <w:tcBorders>
              <w:top w:val="nil"/>
              <w:left w:val="single" w:sz="4" w:space="0" w:color="auto"/>
              <w:bottom w:val="single" w:sz="4" w:space="0" w:color="auto"/>
              <w:right w:val="single" w:sz="4" w:space="0" w:color="auto"/>
            </w:tcBorders>
            <w:shd w:val="clear" w:color="000000" w:fill="44546A"/>
            <w:noWrap/>
            <w:vAlign w:val="bottom"/>
            <w:hideMark/>
          </w:tcPr>
          <w:p w14:paraId="3755C7DE" w14:textId="77777777" w:rsidR="00C8627B" w:rsidRPr="00C8627B" w:rsidRDefault="00C8627B" w:rsidP="00C8627B">
            <w:pPr>
              <w:jc w:val="right"/>
              <w:rPr>
                <w:b/>
                <w:bCs/>
                <w:color w:val="FFFFFF"/>
                <w:sz w:val="18"/>
                <w:szCs w:val="18"/>
                <w:lang w:eastAsia="pt-BR"/>
              </w:rPr>
            </w:pPr>
            <w:r w:rsidRPr="00C8627B">
              <w:rPr>
                <w:b/>
                <w:bCs/>
                <w:color w:val="FFFFFF"/>
                <w:sz w:val="18"/>
                <w:szCs w:val="18"/>
                <w:lang w:eastAsia="pt-BR"/>
              </w:rPr>
              <w:t>2,98</w:t>
            </w:r>
          </w:p>
        </w:tc>
      </w:tr>
      <w:tr w:rsidR="00C8627B" w:rsidRPr="00C8627B" w14:paraId="709E075B" w14:textId="77777777" w:rsidTr="00C8627B">
        <w:trPr>
          <w:trHeight w:val="232"/>
        </w:trPr>
        <w:tc>
          <w:tcPr>
            <w:tcW w:w="873" w:type="dxa"/>
            <w:tcBorders>
              <w:top w:val="nil"/>
              <w:left w:val="nil"/>
              <w:bottom w:val="nil"/>
              <w:right w:val="nil"/>
            </w:tcBorders>
            <w:shd w:val="clear" w:color="auto" w:fill="auto"/>
            <w:noWrap/>
            <w:vAlign w:val="bottom"/>
            <w:hideMark/>
          </w:tcPr>
          <w:p w14:paraId="0FE6E820" w14:textId="77777777" w:rsidR="00C8627B" w:rsidRPr="00C8627B" w:rsidRDefault="00C8627B" w:rsidP="00C8627B">
            <w:pPr>
              <w:jc w:val="right"/>
              <w:rPr>
                <w:b/>
                <w:bCs/>
                <w:color w:val="FFFFFF"/>
                <w:sz w:val="18"/>
                <w:szCs w:val="18"/>
                <w:lang w:eastAsia="pt-BR"/>
              </w:rPr>
            </w:pPr>
          </w:p>
        </w:tc>
        <w:tc>
          <w:tcPr>
            <w:tcW w:w="1182" w:type="dxa"/>
            <w:tcBorders>
              <w:top w:val="nil"/>
              <w:left w:val="nil"/>
              <w:bottom w:val="nil"/>
              <w:right w:val="nil"/>
            </w:tcBorders>
            <w:shd w:val="clear" w:color="auto" w:fill="auto"/>
            <w:noWrap/>
            <w:vAlign w:val="bottom"/>
            <w:hideMark/>
          </w:tcPr>
          <w:p w14:paraId="2863DBA2" w14:textId="77777777" w:rsidR="00C8627B" w:rsidRPr="00C8627B" w:rsidRDefault="00C8627B" w:rsidP="00C8627B">
            <w:pPr>
              <w:jc w:val="center"/>
              <w:rPr>
                <w:sz w:val="18"/>
                <w:szCs w:val="18"/>
                <w:lang w:eastAsia="pt-BR"/>
              </w:rPr>
            </w:pPr>
          </w:p>
        </w:tc>
        <w:tc>
          <w:tcPr>
            <w:tcW w:w="1618" w:type="dxa"/>
            <w:tcBorders>
              <w:top w:val="nil"/>
              <w:left w:val="nil"/>
              <w:bottom w:val="nil"/>
              <w:right w:val="nil"/>
            </w:tcBorders>
            <w:shd w:val="clear" w:color="auto" w:fill="auto"/>
            <w:noWrap/>
            <w:vAlign w:val="bottom"/>
            <w:hideMark/>
          </w:tcPr>
          <w:p w14:paraId="19ED9EAF" w14:textId="77777777" w:rsidR="00C8627B" w:rsidRPr="00C8627B" w:rsidRDefault="00C8627B" w:rsidP="00C8627B">
            <w:pPr>
              <w:jc w:val="right"/>
              <w:rPr>
                <w:sz w:val="18"/>
                <w:szCs w:val="18"/>
                <w:lang w:eastAsia="pt-BR"/>
              </w:rPr>
            </w:pPr>
          </w:p>
        </w:tc>
        <w:tc>
          <w:tcPr>
            <w:tcW w:w="1346" w:type="dxa"/>
            <w:tcBorders>
              <w:top w:val="nil"/>
              <w:left w:val="nil"/>
              <w:bottom w:val="nil"/>
              <w:right w:val="nil"/>
            </w:tcBorders>
            <w:shd w:val="clear" w:color="auto" w:fill="auto"/>
            <w:noWrap/>
            <w:vAlign w:val="bottom"/>
            <w:hideMark/>
          </w:tcPr>
          <w:p w14:paraId="4BED6854" w14:textId="77777777" w:rsidR="00C8627B" w:rsidRPr="00C8627B" w:rsidRDefault="00C8627B" w:rsidP="00C8627B">
            <w:pPr>
              <w:jc w:val="right"/>
              <w:rPr>
                <w:sz w:val="18"/>
                <w:szCs w:val="18"/>
                <w:lang w:eastAsia="pt-BR"/>
              </w:rPr>
            </w:pPr>
          </w:p>
        </w:tc>
        <w:tc>
          <w:tcPr>
            <w:tcW w:w="1346" w:type="dxa"/>
            <w:tcBorders>
              <w:top w:val="nil"/>
              <w:left w:val="nil"/>
              <w:bottom w:val="nil"/>
              <w:right w:val="nil"/>
            </w:tcBorders>
            <w:shd w:val="clear" w:color="auto" w:fill="auto"/>
            <w:noWrap/>
            <w:vAlign w:val="bottom"/>
            <w:hideMark/>
          </w:tcPr>
          <w:p w14:paraId="6DC846AA" w14:textId="77777777" w:rsidR="00C8627B" w:rsidRPr="00C8627B" w:rsidRDefault="00C8627B" w:rsidP="00C8627B">
            <w:pPr>
              <w:jc w:val="right"/>
              <w:rPr>
                <w:sz w:val="18"/>
                <w:szCs w:val="18"/>
                <w:lang w:eastAsia="pt-BR"/>
              </w:rPr>
            </w:pPr>
          </w:p>
        </w:tc>
        <w:tc>
          <w:tcPr>
            <w:tcW w:w="1564" w:type="dxa"/>
            <w:tcBorders>
              <w:top w:val="nil"/>
              <w:left w:val="nil"/>
              <w:bottom w:val="nil"/>
              <w:right w:val="nil"/>
            </w:tcBorders>
            <w:shd w:val="clear" w:color="auto" w:fill="auto"/>
            <w:noWrap/>
            <w:vAlign w:val="bottom"/>
            <w:hideMark/>
          </w:tcPr>
          <w:p w14:paraId="374BD408" w14:textId="77777777" w:rsidR="00C8627B" w:rsidRPr="00C8627B" w:rsidRDefault="00C8627B" w:rsidP="00C8627B">
            <w:pPr>
              <w:jc w:val="right"/>
              <w:rPr>
                <w:sz w:val="18"/>
                <w:szCs w:val="18"/>
                <w:lang w:eastAsia="pt-BR"/>
              </w:rPr>
            </w:pPr>
          </w:p>
        </w:tc>
        <w:tc>
          <w:tcPr>
            <w:tcW w:w="1473" w:type="dxa"/>
            <w:tcBorders>
              <w:top w:val="nil"/>
              <w:left w:val="nil"/>
              <w:bottom w:val="nil"/>
              <w:right w:val="nil"/>
            </w:tcBorders>
            <w:shd w:val="clear" w:color="auto" w:fill="auto"/>
            <w:noWrap/>
            <w:vAlign w:val="bottom"/>
            <w:hideMark/>
          </w:tcPr>
          <w:p w14:paraId="7311FC83" w14:textId="77777777" w:rsidR="00C8627B" w:rsidRPr="00C8627B" w:rsidRDefault="00C8627B" w:rsidP="00C8627B">
            <w:pPr>
              <w:jc w:val="right"/>
              <w:rPr>
                <w:sz w:val="18"/>
                <w:szCs w:val="18"/>
                <w:lang w:eastAsia="pt-BR"/>
              </w:rPr>
            </w:pPr>
          </w:p>
        </w:tc>
        <w:tc>
          <w:tcPr>
            <w:tcW w:w="1291" w:type="dxa"/>
            <w:tcBorders>
              <w:top w:val="nil"/>
              <w:left w:val="nil"/>
              <w:bottom w:val="nil"/>
              <w:right w:val="nil"/>
            </w:tcBorders>
            <w:shd w:val="clear" w:color="auto" w:fill="auto"/>
            <w:noWrap/>
            <w:vAlign w:val="bottom"/>
            <w:hideMark/>
          </w:tcPr>
          <w:p w14:paraId="141123FB" w14:textId="77777777" w:rsidR="00C8627B" w:rsidRPr="00C8627B" w:rsidRDefault="00C8627B" w:rsidP="00C8627B">
            <w:pPr>
              <w:jc w:val="right"/>
              <w:rPr>
                <w:sz w:val="18"/>
                <w:szCs w:val="18"/>
                <w:lang w:eastAsia="pt-BR"/>
              </w:rPr>
            </w:pPr>
          </w:p>
        </w:tc>
      </w:tr>
      <w:tr w:rsidR="00C8627B" w:rsidRPr="00C8627B" w14:paraId="359C524C" w14:textId="77777777" w:rsidTr="00C8627B">
        <w:trPr>
          <w:trHeight w:val="232"/>
        </w:trPr>
        <w:tc>
          <w:tcPr>
            <w:tcW w:w="873" w:type="dxa"/>
            <w:tcBorders>
              <w:top w:val="single" w:sz="4" w:space="0" w:color="auto"/>
              <w:left w:val="single" w:sz="4" w:space="0" w:color="auto"/>
              <w:bottom w:val="nil"/>
              <w:right w:val="single" w:sz="4" w:space="0" w:color="auto"/>
            </w:tcBorders>
            <w:shd w:val="clear" w:color="000000" w:fill="F2F2F2"/>
            <w:noWrap/>
            <w:vAlign w:val="bottom"/>
            <w:hideMark/>
          </w:tcPr>
          <w:p w14:paraId="798D3095" w14:textId="77777777" w:rsidR="00C8627B" w:rsidRPr="00C8627B" w:rsidRDefault="00C8627B" w:rsidP="00C8627B">
            <w:pPr>
              <w:jc w:val="center"/>
              <w:rPr>
                <w:b/>
                <w:bCs/>
                <w:color w:val="000000"/>
                <w:sz w:val="18"/>
                <w:szCs w:val="18"/>
                <w:lang w:eastAsia="pt-BR"/>
              </w:rPr>
            </w:pPr>
            <w:r w:rsidRPr="00C8627B">
              <w:rPr>
                <w:b/>
                <w:bCs/>
                <w:color w:val="000000"/>
                <w:sz w:val="18"/>
                <w:szCs w:val="18"/>
                <w:lang w:eastAsia="pt-BR"/>
              </w:rPr>
              <w:t>2016</w:t>
            </w:r>
          </w:p>
        </w:tc>
        <w:tc>
          <w:tcPr>
            <w:tcW w:w="1182" w:type="dxa"/>
            <w:tcBorders>
              <w:top w:val="single" w:sz="4" w:space="0" w:color="auto"/>
              <w:left w:val="nil"/>
              <w:bottom w:val="single" w:sz="4" w:space="0" w:color="auto"/>
              <w:right w:val="nil"/>
            </w:tcBorders>
            <w:shd w:val="clear" w:color="000000" w:fill="F2F2F2"/>
            <w:noWrap/>
            <w:vAlign w:val="bottom"/>
            <w:hideMark/>
          </w:tcPr>
          <w:p w14:paraId="388DAE27" w14:textId="77777777" w:rsidR="00C8627B" w:rsidRPr="00C8627B" w:rsidRDefault="00C8627B" w:rsidP="00C8627B">
            <w:pPr>
              <w:jc w:val="right"/>
              <w:rPr>
                <w:color w:val="000000"/>
                <w:sz w:val="18"/>
                <w:szCs w:val="18"/>
                <w:lang w:eastAsia="pt-BR"/>
              </w:rPr>
            </w:pPr>
            <w:r w:rsidRPr="00C8627B">
              <w:rPr>
                <w:color w:val="000000"/>
                <w:sz w:val="18"/>
                <w:szCs w:val="18"/>
                <w:lang w:eastAsia="pt-BR"/>
              </w:rPr>
              <w:t>2,76</w:t>
            </w:r>
          </w:p>
        </w:tc>
        <w:tc>
          <w:tcPr>
            <w:tcW w:w="1618" w:type="dxa"/>
            <w:tcBorders>
              <w:top w:val="single" w:sz="4" w:space="0" w:color="auto"/>
              <w:left w:val="nil"/>
              <w:bottom w:val="single" w:sz="4" w:space="0" w:color="auto"/>
              <w:right w:val="nil"/>
            </w:tcBorders>
            <w:shd w:val="clear" w:color="000000" w:fill="F2F2F2"/>
            <w:noWrap/>
            <w:vAlign w:val="bottom"/>
            <w:hideMark/>
          </w:tcPr>
          <w:p w14:paraId="2E5EE8E8" w14:textId="77777777" w:rsidR="00C8627B" w:rsidRPr="00C8627B" w:rsidRDefault="00C8627B" w:rsidP="00C8627B">
            <w:pPr>
              <w:jc w:val="right"/>
              <w:rPr>
                <w:color w:val="000000"/>
                <w:sz w:val="18"/>
                <w:szCs w:val="18"/>
                <w:lang w:eastAsia="pt-BR"/>
              </w:rPr>
            </w:pPr>
            <w:r w:rsidRPr="00C8627B">
              <w:rPr>
                <w:color w:val="000000"/>
                <w:sz w:val="18"/>
                <w:szCs w:val="18"/>
                <w:lang w:eastAsia="pt-BR"/>
              </w:rPr>
              <w:t>3,11</w:t>
            </w:r>
          </w:p>
        </w:tc>
        <w:tc>
          <w:tcPr>
            <w:tcW w:w="1346" w:type="dxa"/>
            <w:tcBorders>
              <w:top w:val="single" w:sz="4" w:space="0" w:color="auto"/>
              <w:left w:val="nil"/>
              <w:bottom w:val="single" w:sz="4" w:space="0" w:color="auto"/>
              <w:right w:val="nil"/>
            </w:tcBorders>
            <w:shd w:val="clear" w:color="000000" w:fill="F2F2F2"/>
            <w:noWrap/>
            <w:vAlign w:val="bottom"/>
            <w:hideMark/>
          </w:tcPr>
          <w:p w14:paraId="0A19E4DA" w14:textId="77777777" w:rsidR="00C8627B" w:rsidRPr="00C8627B" w:rsidRDefault="00C8627B" w:rsidP="00C8627B">
            <w:pPr>
              <w:jc w:val="right"/>
              <w:rPr>
                <w:color w:val="000000"/>
                <w:sz w:val="18"/>
                <w:szCs w:val="18"/>
                <w:lang w:eastAsia="pt-BR"/>
              </w:rPr>
            </w:pPr>
            <w:r w:rsidRPr="00C8627B">
              <w:rPr>
                <w:color w:val="000000"/>
                <w:sz w:val="18"/>
                <w:szCs w:val="18"/>
                <w:lang w:eastAsia="pt-BR"/>
              </w:rPr>
              <w:t>2,90</w:t>
            </w:r>
          </w:p>
        </w:tc>
        <w:tc>
          <w:tcPr>
            <w:tcW w:w="1346" w:type="dxa"/>
            <w:tcBorders>
              <w:top w:val="single" w:sz="4" w:space="0" w:color="auto"/>
              <w:left w:val="nil"/>
              <w:bottom w:val="single" w:sz="4" w:space="0" w:color="auto"/>
              <w:right w:val="nil"/>
            </w:tcBorders>
            <w:shd w:val="clear" w:color="000000" w:fill="F2F2F2"/>
            <w:noWrap/>
            <w:vAlign w:val="bottom"/>
            <w:hideMark/>
          </w:tcPr>
          <w:p w14:paraId="1E6D2722" w14:textId="77777777" w:rsidR="00C8627B" w:rsidRPr="00C8627B" w:rsidRDefault="00C8627B" w:rsidP="00C8627B">
            <w:pPr>
              <w:jc w:val="right"/>
              <w:rPr>
                <w:color w:val="000000"/>
                <w:sz w:val="18"/>
                <w:szCs w:val="18"/>
                <w:lang w:eastAsia="pt-BR"/>
              </w:rPr>
            </w:pPr>
            <w:r w:rsidRPr="00C8627B">
              <w:rPr>
                <w:color w:val="000000"/>
                <w:sz w:val="18"/>
                <w:szCs w:val="18"/>
                <w:lang w:eastAsia="pt-BR"/>
              </w:rPr>
              <w:t>3,12</w:t>
            </w:r>
          </w:p>
        </w:tc>
        <w:tc>
          <w:tcPr>
            <w:tcW w:w="1564" w:type="dxa"/>
            <w:tcBorders>
              <w:top w:val="single" w:sz="4" w:space="0" w:color="auto"/>
              <w:left w:val="nil"/>
              <w:bottom w:val="single" w:sz="4" w:space="0" w:color="auto"/>
              <w:right w:val="nil"/>
            </w:tcBorders>
            <w:shd w:val="clear" w:color="000000" w:fill="F2F2F2"/>
            <w:noWrap/>
            <w:vAlign w:val="bottom"/>
            <w:hideMark/>
          </w:tcPr>
          <w:p w14:paraId="5C831612" w14:textId="77777777" w:rsidR="00C8627B" w:rsidRPr="00C8627B" w:rsidRDefault="00C8627B" w:rsidP="00C8627B">
            <w:pPr>
              <w:jc w:val="right"/>
              <w:rPr>
                <w:color w:val="000000"/>
                <w:sz w:val="18"/>
                <w:szCs w:val="18"/>
                <w:lang w:eastAsia="pt-BR"/>
              </w:rPr>
            </w:pPr>
            <w:r w:rsidRPr="00C8627B">
              <w:rPr>
                <w:color w:val="000000"/>
                <w:sz w:val="18"/>
                <w:szCs w:val="18"/>
                <w:lang w:eastAsia="pt-BR"/>
              </w:rPr>
              <w:t>3,28</w:t>
            </w:r>
          </w:p>
        </w:tc>
        <w:tc>
          <w:tcPr>
            <w:tcW w:w="1473" w:type="dxa"/>
            <w:tcBorders>
              <w:top w:val="single" w:sz="4" w:space="0" w:color="auto"/>
              <w:left w:val="nil"/>
              <w:bottom w:val="single" w:sz="4" w:space="0" w:color="auto"/>
              <w:right w:val="single" w:sz="4" w:space="0" w:color="auto"/>
            </w:tcBorders>
            <w:shd w:val="clear" w:color="000000" w:fill="F2F2F2"/>
            <w:noWrap/>
            <w:vAlign w:val="bottom"/>
            <w:hideMark/>
          </w:tcPr>
          <w:p w14:paraId="2BF29EC3" w14:textId="77777777" w:rsidR="00C8627B" w:rsidRPr="00C8627B" w:rsidRDefault="00C8627B" w:rsidP="00C8627B">
            <w:pPr>
              <w:jc w:val="right"/>
              <w:rPr>
                <w:color w:val="000000"/>
                <w:sz w:val="18"/>
                <w:szCs w:val="18"/>
                <w:lang w:eastAsia="pt-BR"/>
              </w:rPr>
            </w:pPr>
            <w:r w:rsidRPr="00C8627B">
              <w:rPr>
                <w:color w:val="000000"/>
                <w:sz w:val="18"/>
                <w:szCs w:val="18"/>
                <w:lang w:eastAsia="pt-BR"/>
              </w:rPr>
              <w:t>3,39</w:t>
            </w:r>
          </w:p>
        </w:tc>
        <w:tc>
          <w:tcPr>
            <w:tcW w:w="1291" w:type="dxa"/>
            <w:tcBorders>
              <w:top w:val="single" w:sz="4" w:space="0" w:color="auto"/>
              <w:left w:val="nil"/>
              <w:bottom w:val="single" w:sz="4" w:space="0" w:color="auto"/>
              <w:right w:val="single" w:sz="4" w:space="0" w:color="auto"/>
            </w:tcBorders>
            <w:shd w:val="clear" w:color="000000" w:fill="F2F2F2"/>
            <w:noWrap/>
            <w:vAlign w:val="bottom"/>
            <w:hideMark/>
          </w:tcPr>
          <w:p w14:paraId="15C159BD" w14:textId="77777777" w:rsidR="00C8627B" w:rsidRPr="00C8627B" w:rsidRDefault="00C8627B" w:rsidP="00C8627B">
            <w:pPr>
              <w:jc w:val="right"/>
              <w:rPr>
                <w:b/>
                <w:bCs/>
                <w:color w:val="000000"/>
                <w:sz w:val="18"/>
                <w:szCs w:val="18"/>
                <w:lang w:eastAsia="pt-BR"/>
              </w:rPr>
            </w:pPr>
            <w:r w:rsidRPr="00C8627B">
              <w:rPr>
                <w:b/>
                <w:bCs/>
                <w:color w:val="000000"/>
                <w:sz w:val="18"/>
                <w:szCs w:val="18"/>
                <w:lang w:eastAsia="pt-BR"/>
              </w:rPr>
              <w:t>SCORE</w:t>
            </w:r>
          </w:p>
        </w:tc>
      </w:tr>
      <w:tr w:rsidR="00C8627B" w:rsidRPr="00C8627B" w14:paraId="3A0A1C69" w14:textId="77777777" w:rsidTr="00C8627B">
        <w:trPr>
          <w:trHeight w:val="232"/>
        </w:trPr>
        <w:tc>
          <w:tcPr>
            <w:tcW w:w="873" w:type="dxa"/>
            <w:tcBorders>
              <w:top w:val="nil"/>
              <w:left w:val="single" w:sz="4" w:space="0" w:color="auto"/>
              <w:bottom w:val="nil"/>
              <w:right w:val="single" w:sz="4" w:space="0" w:color="auto"/>
            </w:tcBorders>
            <w:shd w:val="clear" w:color="auto" w:fill="auto"/>
            <w:noWrap/>
            <w:vAlign w:val="bottom"/>
            <w:hideMark/>
          </w:tcPr>
          <w:p w14:paraId="490DEEA6" w14:textId="77777777" w:rsidR="00C8627B" w:rsidRPr="00C8627B" w:rsidRDefault="00C8627B" w:rsidP="00C8627B">
            <w:pPr>
              <w:jc w:val="center"/>
              <w:rPr>
                <w:b/>
                <w:bCs/>
                <w:color w:val="000000"/>
                <w:sz w:val="18"/>
                <w:szCs w:val="18"/>
                <w:lang w:eastAsia="pt-BR"/>
              </w:rPr>
            </w:pPr>
            <w:r w:rsidRPr="00C8627B">
              <w:rPr>
                <w:b/>
                <w:bCs/>
                <w:color w:val="000000"/>
                <w:sz w:val="18"/>
                <w:szCs w:val="18"/>
                <w:lang w:eastAsia="pt-BR"/>
              </w:rPr>
              <w:t>LPI</w:t>
            </w:r>
          </w:p>
        </w:tc>
        <w:tc>
          <w:tcPr>
            <w:tcW w:w="1182" w:type="dxa"/>
            <w:tcBorders>
              <w:top w:val="nil"/>
              <w:left w:val="nil"/>
              <w:bottom w:val="nil"/>
              <w:right w:val="nil"/>
            </w:tcBorders>
            <w:shd w:val="clear" w:color="000000" w:fill="F8CBAD"/>
            <w:noWrap/>
            <w:vAlign w:val="bottom"/>
            <w:hideMark/>
          </w:tcPr>
          <w:p w14:paraId="36892342" w14:textId="77777777" w:rsidR="00C8627B" w:rsidRPr="00C8627B" w:rsidRDefault="00C8627B" w:rsidP="00C8627B">
            <w:pPr>
              <w:jc w:val="right"/>
              <w:rPr>
                <w:color w:val="000000"/>
                <w:sz w:val="18"/>
                <w:szCs w:val="18"/>
                <w:lang w:eastAsia="pt-BR"/>
              </w:rPr>
            </w:pPr>
            <w:r w:rsidRPr="00C8627B">
              <w:rPr>
                <w:color w:val="000000"/>
                <w:sz w:val="18"/>
                <w:szCs w:val="18"/>
                <w:lang w:eastAsia="pt-BR"/>
              </w:rPr>
              <w:t>0,45</w:t>
            </w:r>
          </w:p>
        </w:tc>
        <w:tc>
          <w:tcPr>
            <w:tcW w:w="1618" w:type="dxa"/>
            <w:tcBorders>
              <w:top w:val="nil"/>
              <w:left w:val="nil"/>
              <w:bottom w:val="nil"/>
              <w:right w:val="nil"/>
            </w:tcBorders>
            <w:shd w:val="clear" w:color="auto" w:fill="auto"/>
            <w:noWrap/>
            <w:vAlign w:val="bottom"/>
            <w:hideMark/>
          </w:tcPr>
          <w:p w14:paraId="461A635B"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0,53</w:t>
            </w:r>
          </w:p>
        </w:tc>
        <w:tc>
          <w:tcPr>
            <w:tcW w:w="1346" w:type="dxa"/>
            <w:tcBorders>
              <w:top w:val="nil"/>
              <w:left w:val="nil"/>
              <w:bottom w:val="nil"/>
              <w:right w:val="nil"/>
            </w:tcBorders>
            <w:shd w:val="clear" w:color="000000" w:fill="FCE4D6"/>
            <w:noWrap/>
            <w:vAlign w:val="bottom"/>
            <w:hideMark/>
          </w:tcPr>
          <w:p w14:paraId="7D6285BA" w14:textId="77777777" w:rsidR="00C8627B" w:rsidRPr="00C8627B" w:rsidRDefault="00C8627B" w:rsidP="00C8627B">
            <w:pPr>
              <w:jc w:val="right"/>
              <w:rPr>
                <w:color w:val="000000"/>
                <w:sz w:val="18"/>
                <w:szCs w:val="18"/>
                <w:lang w:eastAsia="pt-BR"/>
              </w:rPr>
            </w:pPr>
            <w:r w:rsidRPr="00C8627B">
              <w:rPr>
                <w:color w:val="000000"/>
                <w:sz w:val="18"/>
                <w:szCs w:val="18"/>
                <w:lang w:eastAsia="pt-BR"/>
              </w:rPr>
              <w:t>0,47</w:t>
            </w:r>
          </w:p>
        </w:tc>
        <w:tc>
          <w:tcPr>
            <w:tcW w:w="1346" w:type="dxa"/>
            <w:tcBorders>
              <w:top w:val="nil"/>
              <w:left w:val="nil"/>
              <w:bottom w:val="nil"/>
              <w:right w:val="nil"/>
            </w:tcBorders>
            <w:shd w:val="clear" w:color="000000" w:fill="D9E1F2"/>
            <w:noWrap/>
            <w:vAlign w:val="bottom"/>
            <w:hideMark/>
          </w:tcPr>
          <w:p w14:paraId="47B13172"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0,54</w:t>
            </w:r>
          </w:p>
        </w:tc>
        <w:tc>
          <w:tcPr>
            <w:tcW w:w="1564" w:type="dxa"/>
            <w:tcBorders>
              <w:top w:val="nil"/>
              <w:left w:val="nil"/>
              <w:bottom w:val="nil"/>
              <w:right w:val="nil"/>
            </w:tcBorders>
            <w:shd w:val="clear" w:color="000000" w:fill="B4C6E7"/>
            <w:noWrap/>
            <w:vAlign w:val="bottom"/>
            <w:hideMark/>
          </w:tcPr>
          <w:p w14:paraId="73C2CC6F"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0,55</w:t>
            </w:r>
          </w:p>
        </w:tc>
        <w:tc>
          <w:tcPr>
            <w:tcW w:w="1473" w:type="dxa"/>
            <w:tcBorders>
              <w:top w:val="nil"/>
              <w:left w:val="nil"/>
              <w:bottom w:val="nil"/>
              <w:right w:val="nil"/>
            </w:tcBorders>
            <w:shd w:val="clear" w:color="000000" w:fill="B4C6E7"/>
            <w:noWrap/>
            <w:vAlign w:val="bottom"/>
            <w:hideMark/>
          </w:tcPr>
          <w:p w14:paraId="1329BF5B"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0,55</w:t>
            </w:r>
          </w:p>
        </w:tc>
        <w:tc>
          <w:tcPr>
            <w:tcW w:w="1291" w:type="dxa"/>
            <w:tcBorders>
              <w:top w:val="nil"/>
              <w:left w:val="single" w:sz="4" w:space="0" w:color="auto"/>
              <w:bottom w:val="nil"/>
              <w:right w:val="single" w:sz="4" w:space="0" w:color="auto"/>
            </w:tcBorders>
            <w:shd w:val="clear" w:color="auto" w:fill="auto"/>
            <w:noWrap/>
            <w:vAlign w:val="bottom"/>
            <w:hideMark/>
          </w:tcPr>
          <w:p w14:paraId="439EB171" w14:textId="77777777" w:rsidR="00C8627B" w:rsidRPr="00C8627B" w:rsidRDefault="00C8627B" w:rsidP="00C8627B">
            <w:pPr>
              <w:jc w:val="right"/>
              <w:rPr>
                <w:color w:val="000000"/>
                <w:sz w:val="18"/>
                <w:szCs w:val="18"/>
                <w:lang w:eastAsia="pt-BR"/>
              </w:rPr>
            </w:pPr>
            <w:r w:rsidRPr="00C8627B">
              <w:rPr>
                <w:color w:val="000000"/>
                <w:sz w:val="18"/>
                <w:szCs w:val="18"/>
                <w:lang w:eastAsia="pt-BR"/>
              </w:rPr>
              <w:t>3,09</w:t>
            </w:r>
          </w:p>
        </w:tc>
      </w:tr>
      <w:tr w:rsidR="00C8627B" w:rsidRPr="00C8627B" w14:paraId="518BC23C" w14:textId="77777777" w:rsidTr="00C8627B">
        <w:trPr>
          <w:trHeight w:val="232"/>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14:paraId="30F0B240" w14:textId="77777777" w:rsidR="00C8627B" w:rsidRPr="00C8627B" w:rsidRDefault="00C8627B" w:rsidP="00C8627B">
            <w:pPr>
              <w:jc w:val="center"/>
              <w:rPr>
                <w:b/>
                <w:bCs/>
                <w:color w:val="000000"/>
                <w:sz w:val="18"/>
                <w:szCs w:val="18"/>
                <w:lang w:eastAsia="pt-BR"/>
              </w:rPr>
            </w:pPr>
            <w:proofErr w:type="spellStart"/>
            <w:proofErr w:type="gramStart"/>
            <w:r w:rsidRPr="00C8627B">
              <w:rPr>
                <w:b/>
                <w:bCs/>
                <w:color w:val="000000"/>
                <w:sz w:val="18"/>
                <w:szCs w:val="18"/>
                <w:lang w:eastAsia="pt-BR"/>
              </w:rPr>
              <w:t>LPIw</w:t>
            </w:r>
            <w:proofErr w:type="spellEnd"/>
            <w:proofErr w:type="gramEnd"/>
          </w:p>
        </w:tc>
        <w:tc>
          <w:tcPr>
            <w:tcW w:w="1182" w:type="dxa"/>
            <w:tcBorders>
              <w:top w:val="nil"/>
              <w:left w:val="nil"/>
              <w:bottom w:val="single" w:sz="4" w:space="0" w:color="auto"/>
              <w:right w:val="nil"/>
            </w:tcBorders>
            <w:shd w:val="clear" w:color="auto" w:fill="auto"/>
            <w:noWrap/>
            <w:vAlign w:val="bottom"/>
            <w:hideMark/>
          </w:tcPr>
          <w:p w14:paraId="1CF30D61" w14:textId="77777777" w:rsidR="00C8627B" w:rsidRPr="00C8627B" w:rsidRDefault="00C8627B" w:rsidP="00C8627B">
            <w:pPr>
              <w:jc w:val="right"/>
              <w:rPr>
                <w:color w:val="000000"/>
                <w:sz w:val="18"/>
                <w:szCs w:val="18"/>
                <w:lang w:eastAsia="pt-BR"/>
              </w:rPr>
            </w:pPr>
            <w:r w:rsidRPr="00C8627B">
              <w:rPr>
                <w:color w:val="000000"/>
                <w:sz w:val="18"/>
                <w:szCs w:val="18"/>
                <w:lang w:eastAsia="pt-BR"/>
              </w:rPr>
              <w:t>0,44</w:t>
            </w:r>
          </w:p>
        </w:tc>
        <w:tc>
          <w:tcPr>
            <w:tcW w:w="1618" w:type="dxa"/>
            <w:tcBorders>
              <w:top w:val="nil"/>
              <w:left w:val="nil"/>
              <w:bottom w:val="single" w:sz="4" w:space="0" w:color="auto"/>
              <w:right w:val="nil"/>
            </w:tcBorders>
            <w:shd w:val="clear" w:color="000000" w:fill="B4C6E7"/>
            <w:noWrap/>
            <w:vAlign w:val="bottom"/>
            <w:hideMark/>
          </w:tcPr>
          <w:p w14:paraId="33550AB2" w14:textId="77777777" w:rsidR="00C8627B" w:rsidRPr="00C8627B" w:rsidRDefault="00C8627B" w:rsidP="00C8627B">
            <w:pPr>
              <w:jc w:val="right"/>
              <w:rPr>
                <w:color w:val="000000"/>
                <w:sz w:val="18"/>
                <w:szCs w:val="18"/>
                <w:lang w:eastAsia="pt-BR"/>
              </w:rPr>
            </w:pPr>
            <w:r w:rsidRPr="00C8627B">
              <w:rPr>
                <w:color w:val="000000"/>
                <w:sz w:val="18"/>
                <w:szCs w:val="18"/>
                <w:lang w:eastAsia="pt-BR"/>
              </w:rPr>
              <w:t>0,75</w:t>
            </w:r>
          </w:p>
        </w:tc>
        <w:tc>
          <w:tcPr>
            <w:tcW w:w="1346" w:type="dxa"/>
            <w:tcBorders>
              <w:top w:val="nil"/>
              <w:left w:val="nil"/>
              <w:bottom w:val="single" w:sz="4" w:space="0" w:color="auto"/>
              <w:right w:val="nil"/>
            </w:tcBorders>
            <w:shd w:val="clear" w:color="000000" w:fill="FCE4D6"/>
            <w:noWrap/>
            <w:vAlign w:val="bottom"/>
            <w:hideMark/>
          </w:tcPr>
          <w:p w14:paraId="60881AF0" w14:textId="77777777" w:rsidR="00C8627B" w:rsidRPr="00C8627B" w:rsidRDefault="00C8627B" w:rsidP="00C8627B">
            <w:pPr>
              <w:jc w:val="right"/>
              <w:rPr>
                <w:color w:val="000000"/>
                <w:sz w:val="18"/>
                <w:szCs w:val="18"/>
                <w:lang w:eastAsia="pt-BR"/>
              </w:rPr>
            </w:pPr>
            <w:r w:rsidRPr="00C8627B">
              <w:rPr>
                <w:color w:val="000000"/>
                <w:sz w:val="18"/>
                <w:szCs w:val="18"/>
                <w:lang w:eastAsia="pt-BR"/>
              </w:rPr>
              <w:t>0,38</w:t>
            </w:r>
          </w:p>
        </w:tc>
        <w:tc>
          <w:tcPr>
            <w:tcW w:w="1346" w:type="dxa"/>
            <w:tcBorders>
              <w:top w:val="nil"/>
              <w:left w:val="nil"/>
              <w:bottom w:val="single" w:sz="4" w:space="0" w:color="auto"/>
              <w:right w:val="nil"/>
            </w:tcBorders>
            <w:shd w:val="clear" w:color="000000" w:fill="D9E1F2"/>
            <w:noWrap/>
            <w:vAlign w:val="bottom"/>
            <w:hideMark/>
          </w:tcPr>
          <w:p w14:paraId="607E65F1" w14:textId="77777777" w:rsidR="00C8627B" w:rsidRPr="00C8627B" w:rsidRDefault="00C8627B" w:rsidP="00C8627B">
            <w:pPr>
              <w:jc w:val="right"/>
              <w:rPr>
                <w:color w:val="000000"/>
                <w:sz w:val="18"/>
                <w:szCs w:val="18"/>
                <w:lang w:eastAsia="pt-BR"/>
              </w:rPr>
            </w:pPr>
            <w:r w:rsidRPr="00C8627B">
              <w:rPr>
                <w:color w:val="000000"/>
                <w:sz w:val="18"/>
                <w:szCs w:val="18"/>
                <w:lang w:eastAsia="pt-BR"/>
              </w:rPr>
              <w:t>0,69</w:t>
            </w:r>
          </w:p>
        </w:tc>
        <w:tc>
          <w:tcPr>
            <w:tcW w:w="1564" w:type="dxa"/>
            <w:tcBorders>
              <w:top w:val="nil"/>
              <w:left w:val="nil"/>
              <w:bottom w:val="single" w:sz="4" w:space="0" w:color="auto"/>
              <w:right w:val="nil"/>
            </w:tcBorders>
            <w:shd w:val="clear" w:color="000000" w:fill="F8CBAD"/>
            <w:noWrap/>
            <w:vAlign w:val="bottom"/>
            <w:hideMark/>
          </w:tcPr>
          <w:p w14:paraId="6C19B8F2" w14:textId="77777777" w:rsidR="00C8627B" w:rsidRPr="00C8627B" w:rsidRDefault="00C8627B" w:rsidP="00C8627B">
            <w:pPr>
              <w:jc w:val="right"/>
              <w:rPr>
                <w:color w:val="000000"/>
                <w:sz w:val="18"/>
                <w:szCs w:val="18"/>
                <w:lang w:eastAsia="pt-BR"/>
              </w:rPr>
            </w:pPr>
            <w:r w:rsidRPr="00C8627B">
              <w:rPr>
                <w:color w:val="000000"/>
                <w:sz w:val="18"/>
                <w:szCs w:val="18"/>
                <w:lang w:eastAsia="pt-BR"/>
              </w:rPr>
              <w:t>0,33</w:t>
            </w:r>
          </w:p>
        </w:tc>
        <w:tc>
          <w:tcPr>
            <w:tcW w:w="1473" w:type="dxa"/>
            <w:tcBorders>
              <w:top w:val="nil"/>
              <w:left w:val="nil"/>
              <w:bottom w:val="single" w:sz="4" w:space="0" w:color="auto"/>
              <w:right w:val="nil"/>
            </w:tcBorders>
            <w:shd w:val="clear" w:color="auto" w:fill="auto"/>
            <w:noWrap/>
            <w:vAlign w:val="bottom"/>
            <w:hideMark/>
          </w:tcPr>
          <w:p w14:paraId="31D9196C"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0,54</w:t>
            </w:r>
          </w:p>
        </w:tc>
        <w:tc>
          <w:tcPr>
            <w:tcW w:w="1291" w:type="dxa"/>
            <w:tcBorders>
              <w:top w:val="nil"/>
              <w:left w:val="single" w:sz="4" w:space="0" w:color="auto"/>
              <w:bottom w:val="single" w:sz="4" w:space="0" w:color="auto"/>
              <w:right w:val="single" w:sz="4" w:space="0" w:color="auto"/>
            </w:tcBorders>
            <w:shd w:val="clear" w:color="000000" w:fill="44546A"/>
            <w:noWrap/>
            <w:vAlign w:val="bottom"/>
            <w:hideMark/>
          </w:tcPr>
          <w:p w14:paraId="70B1014C" w14:textId="77777777" w:rsidR="00C8627B" w:rsidRPr="00C8627B" w:rsidRDefault="00C8627B" w:rsidP="00C8627B">
            <w:pPr>
              <w:jc w:val="right"/>
              <w:rPr>
                <w:b/>
                <w:bCs/>
                <w:color w:val="FFFFFF"/>
                <w:sz w:val="18"/>
                <w:szCs w:val="18"/>
                <w:lang w:eastAsia="pt-BR"/>
              </w:rPr>
            </w:pPr>
            <w:r w:rsidRPr="00C8627B">
              <w:rPr>
                <w:b/>
                <w:bCs/>
                <w:color w:val="FFFFFF"/>
                <w:sz w:val="18"/>
                <w:szCs w:val="18"/>
                <w:lang w:eastAsia="pt-BR"/>
              </w:rPr>
              <w:t>3,12</w:t>
            </w:r>
          </w:p>
        </w:tc>
      </w:tr>
      <w:tr w:rsidR="00C8627B" w:rsidRPr="00C8627B" w14:paraId="0246C375" w14:textId="77777777" w:rsidTr="00C8627B">
        <w:trPr>
          <w:trHeight w:val="232"/>
        </w:trPr>
        <w:tc>
          <w:tcPr>
            <w:tcW w:w="873" w:type="dxa"/>
            <w:tcBorders>
              <w:top w:val="nil"/>
              <w:left w:val="nil"/>
              <w:bottom w:val="nil"/>
              <w:right w:val="nil"/>
            </w:tcBorders>
            <w:shd w:val="clear" w:color="auto" w:fill="auto"/>
            <w:noWrap/>
            <w:vAlign w:val="bottom"/>
            <w:hideMark/>
          </w:tcPr>
          <w:p w14:paraId="79A75AEC" w14:textId="77777777" w:rsidR="00C8627B" w:rsidRPr="00C8627B" w:rsidRDefault="00C8627B" w:rsidP="00C8627B">
            <w:pPr>
              <w:jc w:val="right"/>
              <w:rPr>
                <w:b/>
                <w:bCs/>
                <w:color w:val="FFFFFF"/>
                <w:sz w:val="18"/>
                <w:szCs w:val="18"/>
                <w:lang w:eastAsia="pt-BR"/>
              </w:rPr>
            </w:pPr>
          </w:p>
        </w:tc>
        <w:tc>
          <w:tcPr>
            <w:tcW w:w="1182" w:type="dxa"/>
            <w:tcBorders>
              <w:top w:val="nil"/>
              <w:left w:val="nil"/>
              <w:bottom w:val="nil"/>
              <w:right w:val="nil"/>
            </w:tcBorders>
            <w:shd w:val="clear" w:color="auto" w:fill="auto"/>
            <w:noWrap/>
            <w:vAlign w:val="bottom"/>
            <w:hideMark/>
          </w:tcPr>
          <w:p w14:paraId="24581BDA" w14:textId="77777777" w:rsidR="00C8627B" w:rsidRPr="00C8627B" w:rsidRDefault="00C8627B" w:rsidP="00C8627B">
            <w:pPr>
              <w:jc w:val="center"/>
              <w:rPr>
                <w:sz w:val="18"/>
                <w:szCs w:val="18"/>
                <w:lang w:eastAsia="pt-BR"/>
              </w:rPr>
            </w:pPr>
          </w:p>
        </w:tc>
        <w:tc>
          <w:tcPr>
            <w:tcW w:w="1618" w:type="dxa"/>
            <w:tcBorders>
              <w:top w:val="nil"/>
              <w:left w:val="nil"/>
              <w:bottom w:val="nil"/>
              <w:right w:val="nil"/>
            </w:tcBorders>
            <w:shd w:val="clear" w:color="auto" w:fill="auto"/>
            <w:noWrap/>
            <w:vAlign w:val="bottom"/>
            <w:hideMark/>
          </w:tcPr>
          <w:p w14:paraId="63314772" w14:textId="77777777" w:rsidR="00C8627B" w:rsidRPr="00C8627B" w:rsidRDefault="00C8627B" w:rsidP="00C8627B">
            <w:pPr>
              <w:jc w:val="right"/>
              <w:rPr>
                <w:sz w:val="18"/>
                <w:szCs w:val="18"/>
                <w:lang w:eastAsia="pt-BR"/>
              </w:rPr>
            </w:pPr>
          </w:p>
        </w:tc>
        <w:tc>
          <w:tcPr>
            <w:tcW w:w="1346" w:type="dxa"/>
            <w:tcBorders>
              <w:top w:val="nil"/>
              <w:left w:val="nil"/>
              <w:bottom w:val="nil"/>
              <w:right w:val="nil"/>
            </w:tcBorders>
            <w:shd w:val="clear" w:color="auto" w:fill="auto"/>
            <w:noWrap/>
            <w:vAlign w:val="bottom"/>
            <w:hideMark/>
          </w:tcPr>
          <w:p w14:paraId="748EC4AA" w14:textId="77777777" w:rsidR="00C8627B" w:rsidRPr="00C8627B" w:rsidRDefault="00C8627B" w:rsidP="00C8627B">
            <w:pPr>
              <w:jc w:val="right"/>
              <w:rPr>
                <w:sz w:val="18"/>
                <w:szCs w:val="18"/>
                <w:lang w:eastAsia="pt-BR"/>
              </w:rPr>
            </w:pPr>
          </w:p>
        </w:tc>
        <w:tc>
          <w:tcPr>
            <w:tcW w:w="1346" w:type="dxa"/>
            <w:tcBorders>
              <w:top w:val="nil"/>
              <w:left w:val="nil"/>
              <w:bottom w:val="nil"/>
              <w:right w:val="nil"/>
            </w:tcBorders>
            <w:shd w:val="clear" w:color="auto" w:fill="auto"/>
            <w:noWrap/>
            <w:vAlign w:val="bottom"/>
            <w:hideMark/>
          </w:tcPr>
          <w:p w14:paraId="241BAF50" w14:textId="77777777" w:rsidR="00C8627B" w:rsidRPr="00C8627B" w:rsidRDefault="00C8627B" w:rsidP="00C8627B">
            <w:pPr>
              <w:jc w:val="right"/>
              <w:rPr>
                <w:sz w:val="18"/>
                <w:szCs w:val="18"/>
                <w:lang w:eastAsia="pt-BR"/>
              </w:rPr>
            </w:pPr>
          </w:p>
        </w:tc>
        <w:tc>
          <w:tcPr>
            <w:tcW w:w="1564" w:type="dxa"/>
            <w:tcBorders>
              <w:top w:val="nil"/>
              <w:left w:val="nil"/>
              <w:bottom w:val="nil"/>
              <w:right w:val="nil"/>
            </w:tcBorders>
            <w:shd w:val="clear" w:color="auto" w:fill="auto"/>
            <w:noWrap/>
            <w:vAlign w:val="bottom"/>
            <w:hideMark/>
          </w:tcPr>
          <w:p w14:paraId="552145C9" w14:textId="77777777" w:rsidR="00C8627B" w:rsidRPr="00C8627B" w:rsidRDefault="00C8627B" w:rsidP="00C8627B">
            <w:pPr>
              <w:jc w:val="right"/>
              <w:rPr>
                <w:sz w:val="18"/>
                <w:szCs w:val="18"/>
                <w:lang w:eastAsia="pt-BR"/>
              </w:rPr>
            </w:pPr>
          </w:p>
        </w:tc>
        <w:tc>
          <w:tcPr>
            <w:tcW w:w="1473" w:type="dxa"/>
            <w:tcBorders>
              <w:top w:val="nil"/>
              <w:left w:val="nil"/>
              <w:bottom w:val="nil"/>
              <w:right w:val="nil"/>
            </w:tcBorders>
            <w:shd w:val="clear" w:color="auto" w:fill="auto"/>
            <w:noWrap/>
            <w:vAlign w:val="bottom"/>
            <w:hideMark/>
          </w:tcPr>
          <w:p w14:paraId="787F12EC" w14:textId="77777777" w:rsidR="00C8627B" w:rsidRPr="00C8627B" w:rsidRDefault="00C8627B" w:rsidP="00C8627B">
            <w:pPr>
              <w:jc w:val="right"/>
              <w:rPr>
                <w:sz w:val="18"/>
                <w:szCs w:val="18"/>
                <w:lang w:eastAsia="pt-BR"/>
              </w:rPr>
            </w:pPr>
          </w:p>
        </w:tc>
        <w:tc>
          <w:tcPr>
            <w:tcW w:w="1291" w:type="dxa"/>
            <w:tcBorders>
              <w:top w:val="nil"/>
              <w:left w:val="nil"/>
              <w:bottom w:val="nil"/>
              <w:right w:val="nil"/>
            </w:tcBorders>
            <w:shd w:val="clear" w:color="auto" w:fill="auto"/>
            <w:noWrap/>
            <w:vAlign w:val="bottom"/>
            <w:hideMark/>
          </w:tcPr>
          <w:p w14:paraId="3E05DEF2" w14:textId="77777777" w:rsidR="00C8627B" w:rsidRPr="00C8627B" w:rsidRDefault="00C8627B" w:rsidP="00C8627B">
            <w:pPr>
              <w:jc w:val="right"/>
              <w:rPr>
                <w:sz w:val="18"/>
                <w:szCs w:val="18"/>
                <w:lang w:eastAsia="pt-BR"/>
              </w:rPr>
            </w:pPr>
          </w:p>
        </w:tc>
      </w:tr>
      <w:tr w:rsidR="00C8627B" w:rsidRPr="00C8627B" w14:paraId="4D66F15C" w14:textId="77777777" w:rsidTr="00C8627B">
        <w:trPr>
          <w:trHeight w:val="232"/>
        </w:trPr>
        <w:tc>
          <w:tcPr>
            <w:tcW w:w="873" w:type="dxa"/>
            <w:tcBorders>
              <w:top w:val="single" w:sz="4" w:space="0" w:color="auto"/>
              <w:left w:val="single" w:sz="4" w:space="0" w:color="auto"/>
              <w:bottom w:val="nil"/>
              <w:right w:val="single" w:sz="4" w:space="0" w:color="auto"/>
            </w:tcBorders>
            <w:shd w:val="clear" w:color="000000" w:fill="F2F2F2"/>
            <w:noWrap/>
            <w:vAlign w:val="bottom"/>
            <w:hideMark/>
          </w:tcPr>
          <w:p w14:paraId="6FC5154D" w14:textId="77777777" w:rsidR="00C8627B" w:rsidRPr="00C8627B" w:rsidRDefault="00C8627B" w:rsidP="00C8627B">
            <w:pPr>
              <w:jc w:val="center"/>
              <w:rPr>
                <w:b/>
                <w:bCs/>
                <w:color w:val="000000"/>
                <w:sz w:val="18"/>
                <w:szCs w:val="18"/>
                <w:lang w:eastAsia="pt-BR"/>
              </w:rPr>
            </w:pPr>
            <w:r w:rsidRPr="00C8627B">
              <w:rPr>
                <w:b/>
                <w:bCs/>
                <w:color w:val="000000"/>
                <w:sz w:val="18"/>
                <w:szCs w:val="18"/>
                <w:lang w:eastAsia="pt-BR"/>
              </w:rPr>
              <w:t>2018</w:t>
            </w:r>
          </w:p>
        </w:tc>
        <w:tc>
          <w:tcPr>
            <w:tcW w:w="1182" w:type="dxa"/>
            <w:tcBorders>
              <w:top w:val="single" w:sz="4" w:space="0" w:color="auto"/>
              <w:left w:val="nil"/>
              <w:bottom w:val="single" w:sz="4" w:space="0" w:color="auto"/>
              <w:right w:val="nil"/>
            </w:tcBorders>
            <w:shd w:val="clear" w:color="000000" w:fill="F2F2F2"/>
            <w:noWrap/>
            <w:vAlign w:val="bottom"/>
            <w:hideMark/>
          </w:tcPr>
          <w:p w14:paraId="76CF14D8" w14:textId="77777777" w:rsidR="00C8627B" w:rsidRPr="00C8627B" w:rsidRDefault="00C8627B" w:rsidP="00C8627B">
            <w:pPr>
              <w:jc w:val="right"/>
              <w:rPr>
                <w:color w:val="000000"/>
                <w:sz w:val="18"/>
                <w:szCs w:val="18"/>
                <w:lang w:eastAsia="pt-BR"/>
              </w:rPr>
            </w:pPr>
            <w:r w:rsidRPr="00C8627B">
              <w:rPr>
                <w:color w:val="000000"/>
                <w:sz w:val="18"/>
                <w:szCs w:val="18"/>
                <w:lang w:eastAsia="pt-BR"/>
              </w:rPr>
              <w:t>2,41</w:t>
            </w:r>
          </w:p>
        </w:tc>
        <w:tc>
          <w:tcPr>
            <w:tcW w:w="1618" w:type="dxa"/>
            <w:tcBorders>
              <w:top w:val="single" w:sz="4" w:space="0" w:color="auto"/>
              <w:left w:val="nil"/>
              <w:bottom w:val="single" w:sz="4" w:space="0" w:color="auto"/>
              <w:right w:val="nil"/>
            </w:tcBorders>
            <w:shd w:val="clear" w:color="000000" w:fill="F2F2F2"/>
            <w:noWrap/>
            <w:vAlign w:val="bottom"/>
            <w:hideMark/>
          </w:tcPr>
          <w:p w14:paraId="015FAC91" w14:textId="77777777" w:rsidR="00C8627B" w:rsidRPr="00C8627B" w:rsidRDefault="00C8627B" w:rsidP="00C8627B">
            <w:pPr>
              <w:jc w:val="right"/>
              <w:rPr>
                <w:color w:val="000000"/>
                <w:sz w:val="18"/>
                <w:szCs w:val="18"/>
                <w:lang w:eastAsia="pt-BR"/>
              </w:rPr>
            </w:pPr>
            <w:r w:rsidRPr="00C8627B">
              <w:rPr>
                <w:color w:val="000000"/>
                <w:sz w:val="18"/>
                <w:szCs w:val="18"/>
                <w:lang w:eastAsia="pt-BR"/>
              </w:rPr>
              <w:t>2,93</w:t>
            </w:r>
          </w:p>
        </w:tc>
        <w:tc>
          <w:tcPr>
            <w:tcW w:w="1346" w:type="dxa"/>
            <w:tcBorders>
              <w:top w:val="single" w:sz="4" w:space="0" w:color="auto"/>
              <w:left w:val="nil"/>
              <w:bottom w:val="single" w:sz="4" w:space="0" w:color="auto"/>
              <w:right w:val="nil"/>
            </w:tcBorders>
            <w:shd w:val="clear" w:color="000000" w:fill="F2F2F2"/>
            <w:noWrap/>
            <w:vAlign w:val="bottom"/>
            <w:hideMark/>
          </w:tcPr>
          <w:p w14:paraId="4E6BE129" w14:textId="77777777" w:rsidR="00C8627B" w:rsidRPr="00C8627B" w:rsidRDefault="00C8627B" w:rsidP="00C8627B">
            <w:pPr>
              <w:jc w:val="right"/>
              <w:rPr>
                <w:color w:val="000000"/>
                <w:sz w:val="18"/>
                <w:szCs w:val="18"/>
                <w:lang w:eastAsia="pt-BR"/>
              </w:rPr>
            </w:pPr>
            <w:r w:rsidRPr="00C8627B">
              <w:rPr>
                <w:color w:val="000000"/>
                <w:sz w:val="18"/>
                <w:szCs w:val="18"/>
                <w:lang w:eastAsia="pt-BR"/>
              </w:rPr>
              <w:t>2,88</w:t>
            </w:r>
          </w:p>
        </w:tc>
        <w:tc>
          <w:tcPr>
            <w:tcW w:w="1346" w:type="dxa"/>
            <w:tcBorders>
              <w:top w:val="single" w:sz="4" w:space="0" w:color="auto"/>
              <w:left w:val="nil"/>
              <w:bottom w:val="single" w:sz="4" w:space="0" w:color="auto"/>
              <w:right w:val="nil"/>
            </w:tcBorders>
            <w:shd w:val="clear" w:color="000000" w:fill="F2F2F2"/>
            <w:noWrap/>
            <w:vAlign w:val="bottom"/>
            <w:hideMark/>
          </w:tcPr>
          <w:p w14:paraId="1BA9BB5D" w14:textId="77777777" w:rsidR="00C8627B" w:rsidRPr="00C8627B" w:rsidRDefault="00C8627B" w:rsidP="00C8627B">
            <w:pPr>
              <w:jc w:val="right"/>
              <w:rPr>
                <w:color w:val="000000"/>
                <w:sz w:val="18"/>
                <w:szCs w:val="18"/>
                <w:lang w:eastAsia="pt-BR"/>
              </w:rPr>
            </w:pPr>
            <w:r w:rsidRPr="00C8627B">
              <w:rPr>
                <w:color w:val="000000"/>
                <w:sz w:val="18"/>
                <w:szCs w:val="18"/>
                <w:lang w:eastAsia="pt-BR"/>
              </w:rPr>
              <w:t>3,09</w:t>
            </w:r>
          </w:p>
        </w:tc>
        <w:tc>
          <w:tcPr>
            <w:tcW w:w="1564" w:type="dxa"/>
            <w:tcBorders>
              <w:top w:val="single" w:sz="4" w:space="0" w:color="auto"/>
              <w:left w:val="nil"/>
              <w:bottom w:val="single" w:sz="4" w:space="0" w:color="auto"/>
              <w:right w:val="nil"/>
            </w:tcBorders>
            <w:shd w:val="clear" w:color="000000" w:fill="F2F2F2"/>
            <w:noWrap/>
            <w:vAlign w:val="bottom"/>
            <w:hideMark/>
          </w:tcPr>
          <w:p w14:paraId="59859914" w14:textId="77777777" w:rsidR="00C8627B" w:rsidRPr="00C8627B" w:rsidRDefault="00C8627B" w:rsidP="00C8627B">
            <w:pPr>
              <w:jc w:val="right"/>
              <w:rPr>
                <w:color w:val="000000"/>
                <w:sz w:val="18"/>
                <w:szCs w:val="18"/>
                <w:lang w:eastAsia="pt-BR"/>
              </w:rPr>
            </w:pPr>
            <w:r w:rsidRPr="00C8627B">
              <w:rPr>
                <w:color w:val="000000"/>
                <w:sz w:val="18"/>
                <w:szCs w:val="18"/>
                <w:lang w:eastAsia="pt-BR"/>
              </w:rPr>
              <w:t>3,11</w:t>
            </w:r>
          </w:p>
        </w:tc>
        <w:tc>
          <w:tcPr>
            <w:tcW w:w="1473" w:type="dxa"/>
            <w:tcBorders>
              <w:top w:val="single" w:sz="4" w:space="0" w:color="auto"/>
              <w:left w:val="nil"/>
              <w:bottom w:val="single" w:sz="4" w:space="0" w:color="auto"/>
              <w:right w:val="single" w:sz="4" w:space="0" w:color="auto"/>
            </w:tcBorders>
            <w:shd w:val="clear" w:color="000000" w:fill="F2F2F2"/>
            <w:noWrap/>
            <w:vAlign w:val="bottom"/>
            <w:hideMark/>
          </w:tcPr>
          <w:p w14:paraId="754E7A3D" w14:textId="77777777" w:rsidR="00C8627B" w:rsidRPr="00C8627B" w:rsidRDefault="00C8627B" w:rsidP="00C8627B">
            <w:pPr>
              <w:jc w:val="right"/>
              <w:rPr>
                <w:color w:val="000000"/>
                <w:sz w:val="18"/>
                <w:szCs w:val="18"/>
                <w:lang w:eastAsia="pt-BR"/>
              </w:rPr>
            </w:pPr>
            <w:r w:rsidRPr="00C8627B">
              <w:rPr>
                <w:color w:val="000000"/>
                <w:sz w:val="18"/>
                <w:szCs w:val="18"/>
                <w:lang w:eastAsia="pt-BR"/>
              </w:rPr>
              <w:t>3,51</w:t>
            </w:r>
          </w:p>
        </w:tc>
        <w:tc>
          <w:tcPr>
            <w:tcW w:w="1291" w:type="dxa"/>
            <w:tcBorders>
              <w:top w:val="single" w:sz="4" w:space="0" w:color="auto"/>
              <w:left w:val="nil"/>
              <w:bottom w:val="single" w:sz="4" w:space="0" w:color="auto"/>
              <w:right w:val="single" w:sz="4" w:space="0" w:color="auto"/>
            </w:tcBorders>
            <w:shd w:val="clear" w:color="000000" w:fill="F2F2F2"/>
            <w:noWrap/>
            <w:vAlign w:val="bottom"/>
            <w:hideMark/>
          </w:tcPr>
          <w:p w14:paraId="5EB47E87" w14:textId="77777777" w:rsidR="00C8627B" w:rsidRPr="00C8627B" w:rsidRDefault="00C8627B" w:rsidP="00C8627B">
            <w:pPr>
              <w:jc w:val="right"/>
              <w:rPr>
                <w:b/>
                <w:bCs/>
                <w:color w:val="000000"/>
                <w:sz w:val="18"/>
                <w:szCs w:val="18"/>
                <w:lang w:eastAsia="pt-BR"/>
              </w:rPr>
            </w:pPr>
            <w:r w:rsidRPr="00C8627B">
              <w:rPr>
                <w:b/>
                <w:bCs/>
                <w:color w:val="000000"/>
                <w:sz w:val="18"/>
                <w:szCs w:val="18"/>
                <w:lang w:eastAsia="pt-BR"/>
              </w:rPr>
              <w:t>SCORE</w:t>
            </w:r>
          </w:p>
        </w:tc>
      </w:tr>
      <w:tr w:rsidR="00C8627B" w:rsidRPr="00C8627B" w14:paraId="019B433F" w14:textId="77777777" w:rsidTr="00C8627B">
        <w:trPr>
          <w:trHeight w:val="232"/>
        </w:trPr>
        <w:tc>
          <w:tcPr>
            <w:tcW w:w="873" w:type="dxa"/>
            <w:tcBorders>
              <w:top w:val="nil"/>
              <w:left w:val="single" w:sz="4" w:space="0" w:color="auto"/>
              <w:bottom w:val="nil"/>
              <w:right w:val="single" w:sz="4" w:space="0" w:color="auto"/>
            </w:tcBorders>
            <w:shd w:val="clear" w:color="auto" w:fill="auto"/>
            <w:noWrap/>
            <w:vAlign w:val="bottom"/>
            <w:hideMark/>
          </w:tcPr>
          <w:p w14:paraId="01463AFB" w14:textId="77777777" w:rsidR="00C8627B" w:rsidRPr="00C8627B" w:rsidRDefault="00C8627B" w:rsidP="00C8627B">
            <w:pPr>
              <w:jc w:val="center"/>
              <w:rPr>
                <w:b/>
                <w:bCs/>
                <w:color w:val="000000"/>
                <w:sz w:val="18"/>
                <w:szCs w:val="18"/>
                <w:lang w:eastAsia="pt-BR"/>
              </w:rPr>
            </w:pPr>
            <w:r w:rsidRPr="00C8627B">
              <w:rPr>
                <w:b/>
                <w:bCs/>
                <w:color w:val="000000"/>
                <w:sz w:val="18"/>
                <w:szCs w:val="18"/>
                <w:lang w:eastAsia="pt-BR"/>
              </w:rPr>
              <w:t>LPI</w:t>
            </w:r>
          </w:p>
        </w:tc>
        <w:tc>
          <w:tcPr>
            <w:tcW w:w="1182" w:type="dxa"/>
            <w:tcBorders>
              <w:top w:val="nil"/>
              <w:left w:val="nil"/>
              <w:bottom w:val="nil"/>
              <w:right w:val="nil"/>
            </w:tcBorders>
            <w:shd w:val="clear" w:color="000000" w:fill="F8CBAD"/>
            <w:noWrap/>
            <w:vAlign w:val="bottom"/>
            <w:hideMark/>
          </w:tcPr>
          <w:p w14:paraId="7E515984" w14:textId="77777777" w:rsidR="00C8627B" w:rsidRPr="00C8627B" w:rsidRDefault="00C8627B" w:rsidP="00C8627B">
            <w:pPr>
              <w:jc w:val="right"/>
              <w:rPr>
                <w:color w:val="000000"/>
                <w:sz w:val="18"/>
                <w:szCs w:val="18"/>
                <w:lang w:eastAsia="pt-BR"/>
              </w:rPr>
            </w:pPr>
            <w:r w:rsidRPr="00C8627B">
              <w:rPr>
                <w:color w:val="000000"/>
                <w:sz w:val="18"/>
                <w:szCs w:val="18"/>
                <w:lang w:eastAsia="pt-BR"/>
              </w:rPr>
              <w:t>0,39</w:t>
            </w:r>
          </w:p>
        </w:tc>
        <w:tc>
          <w:tcPr>
            <w:tcW w:w="1618" w:type="dxa"/>
            <w:tcBorders>
              <w:top w:val="nil"/>
              <w:left w:val="nil"/>
              <w:bottom w:val="nil"/>
              <w:right w:val="nil"/>
            </w:tcBorders>
            <w:shd w:val="clear" w:color="auto" w:fill="auto"/>
            <w:noWrap/>
            <w:vAlign w:val="bottom"/>
            <w:hideMark/>
          </w:tcPr>
          <w:p w14:paraId="11E40ED9"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0,50</w:t>
            </w:r>
          </w:p>
        </w:tc>
        <w:tc>
          <w:tcPr>
            <w:tcW w:w="1346" w:type="dxa"/>
            <w:tcBorders>
              <w:top w:val="nil"/>
              <w:left w:val="nil"/>
              <w:bottom w:val="nil"/>
              <w:right w:val="nil"/>
            </w:tcBorders>
            <w:shd w:val="clear" w:color="000000" w:fill="FCE4D6"/>
            <w:noWrap/>
            <w:vAlign w:val="bottom"/>
            <w:hideMark/>
          </w:tcPr>
          <w:p w14:paraId="751A5D71" w14:textId="77777777" w:rsidR="00C8627B" w:rsidRPr="00C8627B" w:rsidRDefault="00C8627B" w:rsidP="00C8627B">
            <w:pPr>
              <w:jc w:val="right"/>
              <w:rPr>
                <w:color w:val="000000"/>
                <w:sz w:val="18"/>
                <w:szCs w:val="18"/>
                <w:lang w:eastAsia="pt-BR"/>
              </w:rPr>
            </w:pPr>
            <w:r w:rsidRPr="00C8627B">
              <w:rPr>
                <w:color w:val="000000"/>
                <w:sz w:val="18"/>
                <w:szCs w:val="18"/>
                <w:lang w:eastAsia="pt-BR"/>
              </w:rPr>
              <w:t>0,47</w:t>
            </w:r>
          </w:p>
        </w:tc>
        <w:tc>
          <w:tcPr>
            <w:tcW w:w="1346" w:type="dxa"/>
            <w:tcBorders>
              <w:top w:val="nil"/>
              <w:left w:val="nil"/>
              <w:bottom w:val="nil"/>
              <w:right w:val="nil"/>
            </w:tcBorders>
            <w:shd w:val="clear" w:color="000000" w:fill="D9E1F2"/>
            <w:noWrap/>
            <w:vAlign w:val="bottom"/>
            <w:hideMark/>
          </w:tcPr>
          <w:p w14:paraId="0F7FA440"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0,53</w:t>
            </w:r>
          </w:p>
        </w:tc>
        <w:tc>
          <w:tcPr>
            <w:tcW w:w="1564" w:type="dxa"/>
            <w:tcBorders>
              <w:top w:val="nil"/>
              <w:left w:val="nil"/>
              <w:bottom w:val="nil"/>
              <w:right w:val="nil"/>
            </w:tcBorders>
            <w:shd w:val="clear" w:color="auto" w:fill="auto"/>
            <w:noWrap/>
            <w:vAlign w:val="bottom"/>
            <w:hideMark/>
          </w:tcPr>
          <w:p w14:paraId="2ECCE9D1"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0,52</w:t>
            </w:r>
          </w:p>
        </w:tc>
        <w:tc>
          <w:tcPr>
            <w:tcW w:w="1473" w:type="dxa"/>
            <w:tcBorders>
              <w:top w:val="nil"/>
              <w:left w:val="nil"/>
              <w:bottom w:val="nil"/>
              <w:right w:val="nil"/>
            </w:tcBorders>
            <w:shd w:val="clear" w:color="000000" w:fill="B4C6E7"/>
            <w:noWrap/>
            <w:vAlign w:val="bottom"/>
            <w:hideMark/>
          </w:tcPr>
          <w:p w14:paraId="0632C41B"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0,57</w:t>
            </w:r>
          </w:p>
        </w:tc>
        <w:tc>
          <w:tcPr>
            <w:tcW w:w="1291" w:type="dxa"/>
            <w:tcBorders>
              <w:top w:val="nil"/>
              <w:left w:val="single" w:sz="4" w:space="0" w:color="auto"/>
              <w:bottom w:val="nil"/>
              <w:right w:val="single" w:sz="4" w:space="0" w:color="auto"/>
            </w:tcBorders>
            <w:shd w:val="clear" w:color="auto" w:fill="auto"/>
            <w:noWrap/>
            <w:vAlign w:val="bottom"/>
            <w:hideMark/>
          </w:tcPr>
          <w:p w14:paraId="6499F6BB" w14:textId="77777777" w:rsidR="00C8627B" w:rsidRPr="00C8627B" w:rsidRDefault="00C8627B" w:rsidP="00C8627B">
            <w:pPr>
              <w:jc w:val="right"/>
              <w:rPr>
                <w:color w:val="000000"/>
                <w:sz w:val="18"/>
                <w:szCs w:val="18"/>
                <w:lang w:eastAsia="pt-BR"/>
              </w:rPr>
            </w:pPr>
            <w:r w:rsidRPr="00C8627B">
              <w:rPr>
                <w:color w:val="000000"/>
                <w:sz w:val="18"/>
                <w:szCs w:val="18"/>
                <w:lang w:eastAsia="pt-BR"/>
              </w:rPr>
              <w:t>2,99</w:t>
            </w:r>
          </w:p>
        </w:tc>
      </w:tr>
      <w:tr w:rsidR="00C8627B" w:rsidRPr="00C8627B" w14:paraId="7EAF34B0" w14:textId="77777777" w:rsidTr="00C8627B">
        <w:trPr>
          <w:trHeight w:val="232"/>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14:paraId="3C6F7D29" w14:textId="77777777" w:rsidR="00C8627B" w:rsidRPr="00C8627B" w:rsidRDefault="00C8627B" w:rsidP="00C8627B">
            <w:pPr>
              <w:jc w:val="center"/>
              <w:rPr>
                <w:b/>
                <w:bCs/>
                <w:color w:val="000000"/>
                <w:sz w:val="18"/>
                <w:szCs w:val="18"/>
                <w:lang w:eastAsia="pt-BR"/>
              </w:rPr>
            </w:pPr>
            <w:proofErr w:type="spellStart"/>
            <w:proofErr w:type="gramStart"/>
            <w:r w:rsidRPr="00C8627B">
              <w:rPr>
                <w:b/>
                <w:bCs/>
                <w:color w:val="000000"/>
                <w:sz w:val="18"/>
                <w:szCs w:val="18"/>
                <w:lang w:eastAsia="pt-BR"/>
              </w:rPr>
              <w:t>LPIw</w:t>
            </w:r>
            <w:proofErr w:type="spellEnd"/>
            <w:proofErr w:type="gramEnd"/>
          </w:p>
        </w:tc>
        <w:tc>
          <w:tcPr>
            <w:tcW w:w="1182" w:type="dxa"/>
            <w:tcBorders>
              <w:top w:val="nil"/>
              <w:left w:val="nil"/>
              <w:bottom w:val="single" w:sz="4" w:space="0" w:color="auto"/>
              <w:right w:val="nil"/>
            </w:tcBorders>
            <w:shd w:val="clear" w:color="auto" w:fill="auto"/>
            <w:noWrap/>
            <w:vAlign w:val="bottom"/>
            <w:hideMark/>
          </w:tcPr>
          <w:p w14:paraId="1C216D5B" w14:textId="77777777" w:rsidR="00C8627B" w:rsidRPr="00C8627B" w:rsidRDefault="00C8627B" w:rsidP="00C8627B">
            <w:pPr>
              <w:jc w:val="right"/>
              <w:rPr>
                <w:color w:val="000000"/>
                <w:sz w:val="18"/>
                <w:szCs w:val="18"/>
                <w:lang w:eastAsia="pt-BR"/>
              </w:rPr>
            </w:pPr>
            <w:r w:rsidRPr="00C8627B">
              <w:rPr>
                <w:color w:val="000000"/>
                <w:sz w:val="18"/>
                <w:szCs w:val="18"/>
                <w:lang w:eastAsia="pt-BR"/>
              </w:rPr>
              <w:t>0,38</w:t>
            </w:r>
          </w:p>
        </w:tc>
        <w:tc>
          <w:tcPr>
            <w:tcW w:w="1618" w:type="dxa"/>
            <w:tcBorders>
              <w:top w:val="nil"/>
              <w:left w:val="nil"/>
              <w:bottom w:val="single" w:sz="4" w:space="0" w:color="auto"/>
              <w:right w:val="nil"/>
            </w:tcBorders>
            <w:shd w:val="clear" w:color="000000" w:fill="B4C6E7"/>
            <w:noWrap/>
            <w:vAlign w:val="bottom"/>
            <w:hideMark/>
          </w:tcPr>
          <w:p w14:paraId="496D0ABC" w14:textId="77777777" w:rsidR="00C8627B" w:rsidRPr="00C8627B" w:rsidRDefault="00C8627B" w:rsidP="00C8627B">
            <w:pPr>
              <w:jc w:val="right"/>
              <w:rPr>
                <w:color w:val="000000"/>
                <w:sz w:val="18"/>
                <w:szCs w:val="18"/>
                <w:lang w:eastAsia="pt-BR"/>
              </w:rPr>
            </w:pPr>
            <w:r w:rsidRPr="00C8627B">
              <w:rPr>
                <w:color w:val="000000"/>
                <w:sz w:val="18"/>
                <w:szCs w:val="18"/>
                <w:lang w:eastAsia="pt-BR"/>
              </w:rPr>
              <w:t>0,70</w:t>
            </w:r>
          </w:p>
        </w:tc>
        <w:tc>
          <w:tcPr>
            <w:tcW w:w="1346" w:type="dxa"/>
            <w:tcBorders>
              <w:top w:val="nil"/>
              <w:left w:val="nil"/>
              <w:bottom w:val="single" w:sz="4" w:space="0" w:color="auto"/>
              <w:right w:val="nil"/>
            </w:tcBorders>
            <w:shd w:val="clear" w:color="000000" w:fill="FCE4D6"/>
            <w:noWrap/>
            <w:vAlign w:val="bottom"/>
            <w:hideMark/>
          </w:tcPr>
          <w:p w14:paraId="77419D7E" w14:textId="77777777" w:rsidR="00C8627B" w:rsidRPr="00C8627B" w:rsidRDefault="00C8627B" w:rsidP="00C8627B">
            <w:pPr>
              <w:jc w:val="right"/>
              <w:rPr>
                <w:color w:val="000000"/>
                <w:sz w:val="18"/>
                <w:szCs w:val="18"/>
                <w:lang w:eastAsia="pt-BR"/>
              </w:rPr>
            </w:pPr>
            <w:r w:rsidRPr="00C8627B">
              <w:rPr>
                <w:color w:val="000000"/>
                <w:sz w:val="18"/>
                <w:szCs w:val="18"/>
                <w:lang w:eastAsia="pt-BR"/>
              </w:rPr>
              <w:t>0,37</w:t>
            </w:r>
          </w:p>
        </w:tc>
        <w:tc>
          <w:tcPr>
            <w:tcW w:w="1346" w:type="dxa"/>
            <w:tcBorders>
              <w:top w:val="nil"/>
              <w:left w:val="nil"/>
              <w:bottom w:val="single" w:sz="4" w:space="0" w:color="auto"/>
              <w:right w:val="nil"/>
            </w:tcBorders>
            <w:shd w:val="clear" w:color="000000" w:fill="D9E1F2"/>
            <w:noWrap/>
            <w:vAlign w:val="bottom"/>
            <w:hideMark/>
          </w:tcPr>
          <w:p w14:paraId="2B43EAC1" w14:textId="77777777" w:rsidR="00C8627B" w:rsidRPr="00C8627B" w:rsidRDefault="00C8627B" w:rsidP="00C8627B">
            <w:pPr>
              <w:jc w:val="right"/>
              <w:rPr>
                <w:color w:val="000000"/>
                <w:sz w:val="18"/>
                <w:szCs w:val="18"/>
                <w:lang w:eastAsia="pt-BR"/>
              </w:rPr>
            </w:pPr>
            <w:r w:rsidRPr="00C8627B">
              <w:rPr>
                <w:color w:val="000000"/>
                <w:sz w:val="18"/>
                <w:szCs w:val="18"/>
                <w:lang w:eastAsia="pt-BR"/>
              </w:rPr>
              <w:t>0,68</w:t>
            </w:r>
          </w:p>
        </w:tc>
        <w:tc>
          <w:tcPr>
            <w:tcW w:w="1564" w:type="dxa"/>
            <w:tcBorders>
              <w:top w:val="nil"/>
              <w:left w:val="nil"/>
              <w:bottom w:val="single" w:sz="4" w:space="0" w:color="auto"/>
              <w:right w:val="nil"/>
            </w:tcBorders>
            <w:shd w:val="clear" w:color="000000" w:fill="F8CBAD"/>
            <w:noWrap/>
            <w:vAlign w:val="bottom"/>
            <w:hideMark/>
          </w:tcPr>
          <w:p w14:paraId="6791AAE1" w14:textId="77777777" w:rsidR="00C8627B" w:rsidRPr="00C8627B" w:rsidRDefault="00C8627B" w:rsidP="00C8627B">
            <w:pPr>
              <w:jc w:val="right"/>
              <w:rPr>
                <w:color w:val="000000"/>
                <w:sz w:val="18"/>
                <w:szCs w:val="18"/>
                <w:lang w:eastAsia="pt-BR"/>
              </w:rPr>
            </w:pPr>
            <w:r w:rsidRPr="00C8627B">
              <w:rPr>
                <w:color w:val="000000"/>
                <w:sz w:val="18"/>
                <w:szCs w:val="18"/>
                <w:lang w:eastAsia="pt-BR"/>
              </w:rPr>
              <w:t>0,31</w:t>
            </w:r>
          </w:p>
        </w:tc>
        <w:tc>
          <w:tcPr>
            <w:tcW w:w="1473" w:type="dxa"/>
            <w:tcBorders>
              <w:top w:val="nil"/>
              <w:left w:val="nil"/>
              <w:bottom w:val="single" w:sz="4" w:space="0" w:color="auto"/>
              <w:right w:val="nil"/>
            </w:tcBorders>
            <w:shd w:val="clear" w:color="auto" w:fill="auto"/>
            <w:noWrap/>
            <w:vAlign w:val="bottom"/>
            <w:hideMark/>
          </w:tcPr>
          <w:p w14:paraId="5A555F7D" w14:textId="77777777" w:rsidR="00C8627B" w:rsidRPr="00C8627B" w:rsidRDefault="00C8627B" w:rsidP="00C8627B">
            <w:pPr>
              <w:jc w:val="right"/>
              <w:rPr>
                <w:color w:val="000000"/>
                <w:sz w:val="18"/>
                <w:szCs w:val="18"/>
                <w:lang w:eastAsia="pt-BR"/>
              </w:rPr>
            </w:pPr>
            <w:r w:rsidRPr="00C8627B">
              <w:rPr>
                <w:color w:val="000000"/>
                <w:sz w:val="18"/>
                <w:szCs w:val="18"/>
                <w:lang w:eastAsia="pt-BR"/>
              </w:rPr>
              <w:t>0,56</w:t>
            </w:r>
          </w:p>
        </w:tc>
        <w:tc>
          <w:tcPr>
            <w:tcW w:w="1291" w:type="dxa"/>
            <w:tcBorders>
              <w:top w:val="nil"/>
              <w:left w:val="single" w:sz="4" w:space="0" w:color="auto"/>
              <w:bottom w:val="single" w:sz="4" w:space="0" w:color="auto"/>
              <w:right w:val="single" w:sz="4" w:space="0" w:color="auto"/>
            </w:tcBorders>
            <w:shd w:val="clear" w:color="000000" w:fill="44546A"/>
            <w:noWrap/>
            <w:vAlign w:val="bottom"/>
            <w:hideMark/>
          </w:tcPr>
          <w:p w14:paraId="183D31E1" w14:textId="77777777" w:rsidR="00C8627B" w:rsidRPr="00C8627B" w:rsidRDefault="00C8627B" w:rsidP="00C8627B">
            <w:pPr>
              <w:jc w:val="right"/>
              <w:rPr>
                <w:b/>
                <w:bCs/>
                <w:color w:val="FFFFFF"/>
                <w:sz w:val="18"/>
                <w:szCs w:val="18"/>
                <w:lang w:eastAsia="pt-BR"/>
              </w:rPr>
            </w:pPr>
            <w:r w:rsidRPr="00C8627B">
              <w:rPr>
                <w:b/>
                <w:bCs/>
                <w:color w:val="FFFFFF"/>
                <w:sz w:val="18"/>
                <w:szCs w:val="18"/>
                <w:lang w:eastAsia="pt-BR"/>
              </w:rPr>
              <w:t>3,01</w:t>
            </w:r>
          </w:p>
        </w:tc>
      </w:tr>
    </w:tbl>
    <w:p w14:paraId="736D2F63" w14:textId="261FE6A8" w:rsidR="009723DE" w:rsidRPr="00A204C7" w:rsidRDefault="009723DE" w:rsidP="00AB4A0B">
      <w:pPr>
        <w:spacing w:after="120"/>
      </w:pPr>
    </w:p>
    <w:sectPr w:rsidR="009723DE" w:rsidRPr="00A204C7" w:rsidSect="00273F0F">
      <w:type w:val="continuous"/>
      <w:pgSz w:w="11907" w:h="16839" w:code="9"/>
      <w:pgMar w:top="1418" w:right="851" w:bottom="1418" w:left="851" w:header="709" w:footer="709" w:gutter="0"/>
      <w:cols w:num="2" w:space="454"/>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D7755" w14:textId="77777777" w:rsidR="00AF786E" w:rsidRDefault="00AF786E" w:rsidP="009E4EA9">
      <w:r>
        <w:separator/>
      </w:r>
    </w:p>
  </w:endnote>
  <w:endnote w:type="continuationSeparator" w:id="0">
    <w:p w14:paraId="48CC1ED2" w14:textId="77777777" w:rsidR="00AF786E" w:rsidRDefault="00AF786E" w:rsidP="009E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8698D" w14:textId="77777777" w:rsidR="000261B1" w:rsidRPr="004576DA" w:rsidRDefault="000261B1" w:rsidP="00891E6A">
    <w:pPr>
      <w:pStyle w:val="Rodap"/>
      <w:spacing w:before="120"/>
      <w:jc w:val="right"/>
      <w:rPr>
        <w:rFonts w:ascii="Arial" w:hAnsi="Arial"/>
        <w:sz w:val="16"/>
        <w:szCs w:val="16"/>
      </w:rPr>
    </w:pPr>
    <w:r w:rsidRPr="00C84E1B">
      <w:rPr>
        <w:rFonts w:ascii="Arial" w:hAnsi="Arial"/>
        <w:b/>
        <w:i/>
        <w:sz w:val="16"/>
        <w:szCs w:val="16"/>
        <w:highlight w:val="yellow"/>
        <w:lang w:val="en-US"/>
      </w:rPr>
      <w:t xml:space="preserve">Brazilian Journal of Production </w:t>
    </w:r>
    <w:proofErr w:type="spellStart"/>
    <w:r w:rsidRPr="00C84E1B">
      <w:rPr>
        <w:rFonts w:ascii="Arial" w:hAnsi="Arial"/>
        <w:b/>
        <w:i/>
        <w:sz w:val="16"/>
        <w:szCs w:val="16"/>
        <w:highlight w:val="yellow"/>
        <w:lang w:val="en-US"/>
      </w:rPr>
      <w:t>Engeneering</w:t>
    </w:r>
    <w:proofErr w:type="spellEnd"/>
    <w:r w:rsidRPr="00C84E1B">
      <w:rPr>
        <w:rFonts w:ascii="Arial" w:hAnsi="Arial"/>
        <w:sz w:val="16"/>
        <w:szCs w:val="16"/>
        <w:highlight w:val="yellow"/>
        <w:lang w:val="en-US"/>
      </w:rPr>
      <w:t>,</w:t>
    </w:r>
    <w:r w:rsidRPr="00C84E1B">
      <w:rPr>
        <w:rFonts w:ascii="Arial" w:hAnsi="Arial"/>
        <w:sz w:val="16"/>
        <w:szCs w:val="16"/>
        <w:lang w:val="en-US"/>
      </w:rPr>
      <w:t xml:space="preserve"> São </w:t>
    </w:r>
    <w:proofErr w:type="spellStart"/>
    <w:r w:rsidRPr="00C84E1B">
      <w:rPr>
        <w:rFonts w:ascii="Arial" w:hAnsi="Arial"/>
        <w:sz w:val="16"/>
        <w:szCs w:val="16"/>
        <w:lang w:val="en-US"/>
      </w:rPr>
      <w:t>Mateus</w:t>
    </w:r>
    <w:proofErr w:type="spellEnd"/>
    <w:r w:rsidRPr="00C84E1B">
      <w:rPr>
        <w:rFonts w:ascii="Arial" w:hAnsi="Arial"/>
        <w:sz w:val="16"/>
        <w:szCs w:val="16"/>
        <w:lang w:val="en-US"/>
      </w:rPr>
      <w:t xml:space="preserve">, Vol. </w:t>
    </w:r>
    <w:r w:rsidRPr="004576DA">
      <w:rPr>
        <w:rFonts w:ascii="Arial" w:hAnsi="Arial"/>
        <w:sz w:val="16"/>
        <w:szCs w:val="16"/>
      </w:rPr>
      <w:t>X, N</w:t>
    </w:r>
    <w:proofErr w:type="gramStart"/>
    <w:r w:rsidRPr="004576DA">
      <w:rPr>
        <w:rFonts w:ascii="Arial" w:hAnsi="Arial"/>
        <w:sz w:val="16"/>
        <w:szCs w:val="16"/>
      </w:rPr>
      <w:t>.º</w:t>
    </w:r>
    <w:proofErr w:type="gramEnd"/>
    <w:r w:rsidRPr="004576DA">
      <w:rPr>
        <w:rFonts w:ascii="Arial" w:hAnsi="Arial"/>
        <w:sz w:val="16"/>
        <w:szCs w:val="16"/>
      </w:rPr>
      <w:t xml:space="preserve"> Y, p. aa-</w:t>
    </w:r>
    <w:proofErr w:type="spellStart"/>
    <w:r w:rsidRPr="004576DA">
      <w:rPr>
        <w:rFonts w:ascii="Arial" w:hAnsi="Arial"/>
        <w:sz w:val="16"/>
        <w:szCs w:val="16"/>
      </w:rPr>
      <w:t>bb</w:t>
    </w:r>
    <w:proofErr w:type="spellEnd"/>
    <w:r w:rsidRPr="004576DA">
      <w:rPr>
        <w:rFonts w:ascii="Arial" w:hAnsi="Arial"/>
        <w:sz w:val="16"/>
        <w:szCs w:val="16"/>
      </w:rPr>
      <w:t xml:space="preserve">. (ano). Editora </w:t>
    </w:r>
    <w:r>
      <w:rPr>
        <w:rFonts w:ascii="Arial" w:hAnsi="Arial"/>
        <w:sz w:val="16"/>
        <w:szCs w:val="16"/>
      </w:rPr>
      <w:t>CEUNES/DETEC</w:t>
    </w:r>
    <w:r w:rsidRPr="004576DA">
      <w:rPr>
        <w:rFonts w:ascii="Arial" w:hAnsi="Arial"/>
        <w:sz w:val="16"/>
        <w:szCs w:val="16"/>
      </w:rPr>
      <w:t xml:space="preserve">. </w:t>
    </w:r>
  </w:p>
  <w:p w14:paraId="73061100" w14:textId="7E56736D" w:rsidR="000261B1" w:rsidRPr="00891E6A" w:rsidRDefault="000261B1" w:rsidP="00891E6A">
    <w:pPr>
      <w:pStyle w:val="Rodap"/>
      <w:jc w:val="right"/>
      <w:rPr>
        <w:rFonts w:ascii="Arial" w:hAnsi="Arial"/>
        <w:sz w:val="16"/>
        <w:szCs w:val="16"/>
      </w:rPr>
    </w:pPr>
    <w:r w:rsidRPr="004576DA">
      <w:rPr>
        <w:rFonts w:ascii="Arial" w:hAnsi="Arial"/>
        <w:sz w:val="16"/>
        <w:szCs w:val="16"/>
      </w:rPr>
      <w:t xml:space="preserve">Disponível em: </w:t>
    </w:r>
    <w:r>
      <w:rPr>
        <w:rFonts w:ascii="Arial" w:hAnsi="Arial"/>
        <w:sz w:val="16"/>
        <w:szCs w:val="16"/>
        <w:highlight w:val="yellow"/>
      </w:rPr>
      <w:t>http://periodicos.ufes.br/BJPE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6657D" w14:textId="39FDFD27" w:rsidR="000261B1" w:rsidRPr="00DF3567" w:rsidRDefault="000261B1" w:rsidP="00891E6A">
    <w:pPr>
      <w:pStyle w:val="Rodap"/>
      <w:spacing w:before="120"/>
      <w:jc w:val="right"/>
      <w:rPr>
        <w:rFonts w:ascii="Arial" w:hAnsi="Arial"/>
        <w:sz w:val="16"/>
        <w:szCs w:val="16"/>
      </w:rPr>
    </w:pPr>
    <w:r w:rsidRPr="00C84E1B">
      <w:rPr>
        <w:rFonts w:ascii="Arial" w:hAnsi="Arial"/>
        <w:b/>
        <w:i/>
        <w:sz w:val="16"/>
        <w:szCs w:val="16"/>
        <w:lang w:val="en-US"/>
      </w:rPr>
      <w:t>Brazilian Journal of Production Engineering</w:t>
    </w:r>
    <w:r w:rsidRPr="00C84E1B">
      <w:rPr>
        <w:rFonts w:ascii="Arial" w:hAnsi="Arial"/>
        <w:sz w:val="16"/>
        <w:szCs w:val="16"/>
        <w:lang w:val="en-US"/>
      </w:rPr>
      <w:t xml:space="preserve">, São </w:t>
    </w:r>
    <w:proofErr w:type="spellStart"/>
    <w:r w:rsidRPr="00C84E1B">
      <w:rPr>
        <w:rFonts w:ascii="Arial" w:hAnsi="Arial"/>
        <w:sz w:val="16"/>
        <w:szCs w:val="16"/>
        <w:lang w:val="en-US"/>
      </w:rPr>
      <w:t>Mateus</w:t>
    </w:r>
    <w:proofErr w:type="spellEnd"/>
    <w:r w:rsidRPr="00C84E1B">
      <w:rPr>
        <w:rFonts w:ascii="Arial" w:hAnsi="Arial"/>
        <w:sz w:val="16"/>
        <w:szCs w:val="16"/>
        <w:lang w:val="en-US"/>
      </w:rPr>
      <w:t xml:space="preserve">, Vol. </w:t>
    </w:r>
    <w:r w:rsidRPr="00DF3567">
      <w:rPr>
        <w:rFonts w:ascii="Arial" w:hAnsi="Arial"/>
        <w:sz w:val="16"/>
        <w:szCs w:val="16"/>
      </w:rPr>
      <w:t>X, N</w:t>
    </w:r>
    <w:proofErr w:type="gramStart"/>
    <w:r w:rsidRPr="00DF3567">
      <w:rPr>
        <w:rFonts w:ascii="Arial" w:hAnsi="Arial"/>
        <w:sz w:val="16"/>
        <w:szCs w:val="16"/>
      </w:rPr>
      <w:t>.º</w:t>
    </w:r>
    <w:proofErr w:type="gramEnd"/>
    <w:r w:rsidRPr="00DF3567">
      <w:rPr>
        <w:rFonts w:ascii="Arial" w:hAnsi="Arial"/>
        <w:sz w:val="16"/>
        <w:szCs w:val="16"/>
      </w:rPr>
      <w:t xml:space="preserve"> Y, p. aa-</w:t>
    </w:r>
    <w:proofErr w:type="spellStart"/>
    <w:r w:rsidRPr="00DF3567">
      <w:rPr>
        <w:rFonts w:ascii="Arial" w:hAnsi="Arial"/>
        <w:sz w:val="16"/>
        <w:szCs w:val="16"/>
      </w:rPr>
      <w:t>bb</w:t>
    </w:r>
    <w:proofErr w:type="spellEnd"/>
    <w:r w:rsidRPr="00DF3567">
      <w:rPr>
        <w:rFonts w:ascii="Arial" w:hAnsi="Arial"/>
        <w:sz w:val="16"/>
        <w:szCs w:val="16"/>
      </w:rPr>
      <w:t xml:space="preserve">. (ano). Editora CEUNES/DETEC. </w:t>
    </w:r>
  </w:p>
  <w:p w14:paraId="74A04306" w14:textId="668568F8" w:rsidR="000261B1" w:rsidRPr="00891E6A" w:rsidRDefault="000261B1" w:rsidP="00891E6A">
    <w:pPr>
      <w:pStyle w:val="Rodap"/>
      <w:jc w:val="right"/>
      <w:rPr>
        <w:rFonts w:ascii="Arial" w:hAnsi="Arial"/>
        <w:sz w:val="16"/>
        <w:szCs w:val="16"/>
      </w:rPr>
    </w:pPr>
    <w:r w:rsidRPr="00DF3567">
      <w:rPr>
        <w:rFonts w:ascii="Arial" w:hAnsi="Arial"/>
        <w:sz w:val="16"/>
        <w:szCs w:val="16"/>
      </w:rPr>
      <w:t xml:space="preserve">Disponível em: </w:t>
    </w:r>
    <w:hyperlink r:id="rId1" w:history="1">
      <w:r w:rsidRPr="00DF3567">
        <w:rPr>
          <w:rStyle w:val="Hyperlink"/>
          <w:rFonts w:ascii="Arial" w:hAnsi="Arial"/>
          <w:sz w:val="16"/>
          <w:szCs w:val="16"/>
        </w:rPr>
        <w:t>http://periodicos.ufes.br/BJPE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96D4C" w14:textId="77777777" w:rsidR="000261B1" w:rsidRDefault="000261B1" w:rsidP="00DF3567">
    <w:pPr>
      <w:pStyle w:val="Rodap"/>
      <w:spacing w:before="120"/>
      <w:jc w:val="right"/>
      <w:rPr>
        <w:rFonts w:ascii="Arial" w:hAnsi="Arial"/>
        <w:sz w:val="16"/>
        <w:szCs w:val="16"/>
      </w:rPr>
    </w:pPr>
    <w:r w:rsidRPr="00C84E1B">
      <w:rPr>
        <w:rFonts w:ascii="Arial" w:hAnsi="Arial"/>
        <w:b/>
        <w:i/>
        <w:sz w:val="16"/>
        <w:szCs w:val="16"/>
        <w:lang w:val="en-US"/>
      </w:rPr>
      <w:t>Brazilian Journal of Production Engineering</w:t>
    </w:r>
    <w:r w:rsidRPr="00C84E1B">
      <w:rPr>
        <w:rFonts w:ascii="Arial" w:hAnsi="Arial"/>
        <w:sz w:val="16"/>
        <w:szCs w:val="16"/>
        <w:lang w:val="en-US"/>
      </w:rPr>
      <w:t xml:space="preserve">, São </w:t>
    </w:r>
    <w:proofErr w:type="spellStart"/>
    <w:r w:rsidRPr="00C84E1B">
      <w:rPr>
        <w:rFonts w:ascii="Arial" w:hAnsi="Arial"/>
        <w:sz w:val="16"/>
        <w:szCs w:val="16"/>
        <w:lang w:val="en-US"/>
      </w:rPr>
      <w:t>Mateus</w:t>
    </w:r>
    <w:proofErr w:type="spellEnd"/>
    <w:r w:rsidRPr="00C84E1B">
      <w:rPr>
        <w:rFonts w:ascii="Arial" w:hAnsi="Arial"/>
        <w:sz w:val="16"/>
        <w:szCs w:val="16"/>
        <w:lang w:val="en-US"/>
      </w:rPr>
      <w:t xml:space="preserve">, Vol. </w:t>
    </w:r>
    <w:r w:rsidRPr="00F2323C">
      <w:rPr>
        <w:rFonts w:ascii="Arial" w:hAnsi="Arial"/>
        <w:sz w:val="16"/>
        <w:szCs w:val="16"/>
      </w:rPr>
      <w:t>X, N</w:t>
    </w:r>
    <w:proofErr w:type="gramStart"/>
    <w:r w:rsidRPr="00F2323C">
      <w:rPr>
        <w:rFonts w:ascii="Arial" w:hAnsi="Arial"/>
        <w:sz w:val="16"/>
        <w:szCs w:val="16"/>
      </w:rPr>
      <w:t>.º</w:t>
    </w:r>
    <w:proofErr w:type="gramEnd"/>
    <w:r w:rsidRPr="00F2323C">
      <w:rPr>
        <w:rFonts w:ascii="Arial" w:hAnsi="Arial"/>
        <w:sz w:val="16"/>
        <w:szCs w:val="16"/>
      </w:rPr>
      <w:t xml:space="preserve"> Y, p. aa-</w:t>
    </w:r>
    <w:proofErr w:type="spellStart"/>
    <w:r w:rsidRPr="00F2323C">
      <w:rPr>
        <w:rFonts w:ascii="Arial" w:hAnsi="Arial"/>
        <w:sz w:val="16"/>
        <w:szCs w:val="16"/>
      </w:rPr>
      <w:t>bb</w:t>
    </w:r>
    <w:proofErr w:type="spellEnd"/>
    <w:r w:rsidRPr="00F2323C">
      <w:rPr>
        <w:rFonts w:ascii="Arial" w:hAnsi="Arial"/>
        <w:sz w:val="16"/>
        <w:szCs w:val="16"/>
      </w:rPr>
      <w:t>. (ano). Edito</w:t>
    </w:r>
    <w:r>
      <w:rPr>
        <w:rFonts w:ascii="Arial" w:hAnsi="Arial"/>
        <w:sz w:val="16"/>
        <w:szCs w:val="16"/>
      </w:rPr>
      <w:t>ra CEUNES/DETEC.</w:t>
    </w:r>
  </w:p>
  <w:p w14:paraId="2D220201" w14:textId="24A2DCBF" w:rsidR="000261B1" w:rsidRPr="004576DA" w:rsidRDefault="000261B1" w:rsidP="00DF3567">
    <w:pPr>
      <w:pStyle w:val="Rodap"/>
      <w:spacing w:before="120"/>
      <w:jc w:val="right"/>
      <w:rPr>
        <w:rFonts w:ascii="Arial" w:hAnsi="Arial"/>
        <w:sz w:val="16"/>
        <w:szCs w:val="16"/>
      </w:rPr>
    </w:pPr>
    <w:r w:rsidRPr="00F2323C">
      <w:rPr>
        <w:rFonts w:ascii="Arial" w:hAnsi="Arial"/>
        <w:sz w:val="16"/>
        <w:szCs w:val="16"/>
      </w:rPr>
      <w:t xml:space="preserve">Disponível em: </w:t>
    </w:r>
    <w:hyperlink r:id="rId1" w:history="1">
      <w:r w:rsidRPr="00F2323C">
        <w:rPr>
          <w:rStyle w:val="Hyperlink"/>
          <w:rFonts w:ascii="Arial" w:hAnsi="Arial"/>
          <w:sz w:val="16"/>
          <w:szCs w:val="16"/>
        </w:rPr>
        <w:t>http://periodicos.ufes.br/BJPE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64601" w14:textId="77777777" w:rsidR="00AF786E" w:rsidRDefault="00AF786E" w:rsidP="009E4EA9">
      <w:r>
        <w:separator/>
      </w:r>
    </w:p>
  </w:footnote>
  <w:footnote w:type="continuationSeparator" w:id="0">
    <w:p w14:paraId="58E3F0F0" w14:textId="77777777" w:rsidR="00AF786E" w:rsidRDefault="00AF786E" w:rsidP="009E4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D76C3" w14:textId="13A56DBA" w:rsidR="000261B1" w:rsidRDefault="000261B1" w:rsidP="006A0B67">
    <w:pPr>
      <w:rPr>
        <w:b/>
        <w:smallCaps/>
      </w:rPr>
    </w:pPr>
    <w:r>
      <w:rPr>
        <w:b/>
        <w:smallCaps/>
        <w:noProof/>
        <w:lang w:eastAsia="pt-BR"/>
      </w:rPr>
      <w:drawing>
        <wp:anchor distT="0" distB="0" distL="114300" distR="114300" simplePos="0" relativeHeight="251669504" behindDoc="0" locked="0" layoutInCell="1" allowOverlap="1" wp14:anchorId="311F8C47" wp14:editId="56E091D0">
          <wp:simplePos x="0" y="0"/>
          <wp:positionH relativeFrom="column">
            <wp:posOffset>79424</wp:posOffset>
          </wp:positionH>
          <wp:positionV relativeFrom="paragraph">
            <wp:posOffset>-12065</wp:posOffset>
          </wp:positionV>
          <wp:extent cx="844550" cy="1148080"/>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JPE.png"/>
                  <pic:cNvPicPr/>
                </pic:nvPicPr>
                <pic:blipFill>
                  <a:blip r:embed="rId1">
                    <a:extLst>
                      <a:ext uri="{28A0092B-C50C-407E-A947-70E740481C1C}">
                        <a14:useLocalDpi xmlns:a14="http://schemas.microsoft.com/office/drawing/2010/main" val="0"/>
                      </a:ext>
                    </a:extLst>
                  </a:blip>
                  <a:stretch>
                    <a:fillRect/>
                  </a:stretch>
                </pic:blipFill>
                <pic:spPr>
                  <a:xfrm>
                    <a:off x="0" y="0"/>
                    <a:ext cx="844550" cy="1148080"/>
                  </a:xfrm>
                  <a:prstGeom prst="rect">
                    <a:avLst/>
                  </a:prstGeom>
                </pic:spPr>
              </pic:pic>
            </a:graphicData>
          </a:graphic>
        </wp:anchor>
      </w:drawing>
    </w:r>
    <w:r w:rsidRPr="006A0B67">
      <w:rPr>
        <w:b/>
        <w:smallCaps/>
        <w:noProof/>
        <w:lang w:eastAsia="pt-BR"/>
      </w:rPr>
      <mc:AlternateContent>
        <mc:Choice Requires="wps">
          <w:drawing>
            <wp:anchor distT="45720" distB="45720" distL="114300" distR="114300" simplePos="0" relativeHeight="251661312" behindDoc="0" locked="0" layoutInCell="1" allowOverlap="1" wp14:anchorId="68F1946A" wp14:editId="4C6F21A1">
              <wp:simplePos x="0" y="0"/>
              <wp:positionH relativeFrom="column">
                <wp:posOffset>1479368</wp:posOffset>
              </wp:positionH>
              <wp:positionV relativeFrom="paragraph">
                <wp:posOffset>111125</wp:posOffset>
              </wp:positionV>
              <wp:extent cx="2752725" cy="219075"/>
              <wp:effectExtent l="0" t="0" r="9525" b="9525"/>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219075"/>
                      </a:xfrm>
                      <a:prstGeom prst="rect">
                        <a:avLst/>
                      </a:prstGeom>
                      <a:solidFill>
                        <a:srgbClr val="FFFFFF"/>
                      </a:solidFill>
                      <a:ln w="9525">
                        <a:noFill/>
                        <a:miter lim="800000"/>
                        <a:headEnd/>
                        <a:tailEnd/>
                      </a:ln>
                    </wps:spPr>
                    <wps:txbx>
                      <w:txbxContent>
                        <w:p w14:paraId="059C480A" w14:textId="6F6BF93C" w:rsidR="000261B1" w:rsidRPr="00F220FE" w:rsidRDefault="000261B1" w:rsidP="006A0B67">
                          <w:pPr>
                            <w:jc w:val="center"/>
                            <w:rPr>
                              <w:rFonts w:ascii="Arial Rounded MT Bold" w:hAnsi="Arial Rounded MT Bold"/>
                              <w:sz w:val="16"/>
                              <w:szCs w:val="16"/>
                            </w:rPr>
                          </w:pPr>
                          <w:r w:rsidRPr="00F220FE">
                            <w:rPr>
                              <w:rFonts w:ascii="Arial Rounded MT Bold" w:hAnsi="Arial Rounded MT Bold"/>
                              <w:sz w:val="16"/>
                              <w:szCs w:val="16"/>
                            </w:rPr>
                            <w:t>Disponível em: http://periodicos.ufes.br/BJPE/index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116.5pt;margin-top:8.75pt;width:216.75pt;height:1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" stroked="f">
              <v:textbox>
                <w:txbxContent>
                  <w:p w14:paraId="059C480A" w14:textId="6F6BF93C" w:rsidR="000261B1" w:rsidRPr="00F220FE" w:rsidRDefault="000261B1" w:rsidP="006A0B67">
                    <w:pPr>
                      <w:jc w:val="center"/>
                      <w:rPr>
                        <w:rFonts w:ascii="Arial Rounded MT Bold" w:hAnsi="Arial Rounded MT Bold"/>
                        <w:sz w:val="16"/>
                        <w:szCs w:val="16"/>
                      </w:rPr>
                    </w:pPr>
                    <w:r w:rsidRPr="00F220FE">
                      <w:rPr>
                        <w:rFonts w:ascii="Arial Rounded MT Bold" w:hAnsi="Arial Rounded MT Bold"/>
                        <w:sz w:val="16"/>
                        <w:szCs w:val="16"/>
                      </w:rPr>
                      <w:t>Disponível em: http://periodicos.ufes.br/BJPE/index</w:t>
                    </w:r>
                  </w:p>
                </w:txbxContent>
              </v:textbox>
              <w10:wrap type="square"/>
            </v:shape>
          </w:pict>
        </mc:Fallback>
      </mc:AlternateContent>
    </w:r>
    <w:r w:rsidRPr="006A0B67">
      <w:rPr>
        <w:b/>
        <w:smallCaps/>
        <w:noProof/>
        <w:lang w:eastAsia="pt-BR"/>
      </w:rPr>
      <mc:AlternateContent>
        <mc:Choice Requires="wps">
          <w:drawing>
            <wp:anchor distT="45720" distB="45720" distL="114300" distR="114300" simplePos="0" relativeHeight="251653120" behindDoc="0" locked="0" layoutInCell="1" allowOverlap="1" wp14:anchorId="61A27103" wp14:editId="75384E20">
              <wp:simplePos x="0" y="0"/>
              <wp:positionH relativeFrom="column">
                <wp:posOffset>-900430</wp:posOffset>
              </wp:positionH>
              <wp:positionV relativeFrom="paragraph">
                <wp:posOffset>1145540</wp:posOffset>
              </wp:positionV>
              <wp:extent cx="7562850" cy="1404620"/>
              <wp:effectExtent l="0" t="0" r="19050" b="158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1404620"/>
                      </a:xfrm>
                      <a:prstGeom prst="rect">
                        <a:avLst/>
                      </a:prstGeom>
                      <a:solidFill>
                        <a:srgbClr val="A40000"/>
                      </a:solidFill>
                      <a:ln w="12700">
                        <a:solidFill>
                          <a:schemeClr val="tx1"/>
                        </a:solidFill>
                        <a:miter lim="800000"/>
                        <a:headEnd/>
                        <a:tailEnd/>
                      </a:ln>
                    </wps:spPr>
                    <wps:txbx>
                      <w:txbxContent>
                        <w:p w14:paraId="10E93372" w14:textId="3DAC70E7" w:rsidR="000261B1" w:rsidRPr="001D2CB1" w:rsidRDefault="000261B1" w:rsidP="006A0B67">
                          <w:pPr>
                            <w:ind w:left="720" w:firstLine="720"/>
                            <w:rPr>
                              <w:rFonts w:ascii="Arial Rounded MT Bold" w:hAnsi="Arial Rounded MT Bold"/>
                              <w:b/>
                              <w:color w:val="FFFFFF" w:themeColor="background1"/>
                              <w:sz w:val="20"/>
                              <w:szCs w:val="20"/>
                            </w:rPr>
                          </w:pPr>
                          <w:r w:rsidRPr="001D2CB1">
                            <w:rPr>
                              <w:rFonts w:ascii="Arial Rounded MT Bold" w:hAnsi="Arial Rounded MT Bold"/>
                              <w:b/>
                              <w:color w:val="FFFFFF" w:themeColor="background1"/>
                              <w:sz w:val="20"/>
                              <w:szCs w:val="20"/>
                            </w:rPr>
                            <w:t>ARTIGO ORIGINAL</w:t>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Pr>
                              <w:rFonts w:ascii="Arial Rounded MT Bold" w:hAnsi="Arial Rounded MT Bold"/>
                              <w:b/>
                              <w:color w:val="FFFFFF" w:themeColor="background1"/>
                              <w:sz w:val="20"/>
                              <w:szCs w:val="20"/>
                            </w:rPr>
                            <w:t xml:space="preserve">       </w:t>
                          </w:r>
                          <w:r w:rsidRPr="001D2CB1">
                            <w:rPr>
                              <w:rFonts w:ascii="Arial Rounded MT Bold" w:hAnsi="Arial Rounded MT Bold"/>
                              <w:b/>
                              <w:color w:val="FFFFFF" w:themeColor="background1"/>
                              <w:sz w:val="20"/>
                              <w:szCs w:val="20"/>
                            </w:rPr>
                            <w:t>OPEN ACCESS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70.9pt;margin-top:90.2pt;width:595.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" fillcolor="#a40000" strokecolor="black [3213]" strokeweight="1pt">
              <v:textbox style="mso-fit-shape-to-text:t">
                <w:txbxContent>
                  <w:p w14:paraId="10E93372" w14:textId="3DAC70E7" w:rsidR="000261B1" w:rsidRPr="001D2CB1" w:rsidRDefault="000261B1" w:rsidP="006A0B67">
                    <w:pPr>
                      <w:ind w:left="720" w:firstLine="720"/>
                      <w:rPr>
                        <w:rFonts w:ascii="Arial Rounded MT Bold" w:hAnsi="Arial Rounded MT Bold"/>
                        <w:b/>
                        <w:color w:val="FFFFFF" w:themeColor="background1"/>
                        <w:sz w:val="20"/>
                        <w:szCs w:val="20"/>
                      </w:rPr>
                    </w:pPr>
                    <w:r w:rsidRPr="001D2CB1">
                      <w:rPr>
                        <w:rFonts w:ascii="Arial Rounded MT Bold" w:hAnsi="Arial Rounded MT Bold"/>
                        <w:b/>
                        <w:color w:val="FFFFFF" w:themeColor="background1"/>
                        <w:sz w:val="20"/>
                        <w:szCs w:val="20"/>
                      </w:rPr>
                      <w:t>ARTIGO ORIGINAL</w:t>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Pr>
                        <w:rFonts w:ascii="Arial Rounded MT Bold" w:hAnsi="Arial Rounded MT Bold"/>
                        <w:b/>
                        <w:color w:val="FFFFFF" w:themeColor="background1"/>
                        <w:sz w:val="20"/>
                        <w:szCs w:val="20"/>
                      </w:rPr>
                      <w:t xml:space="preserve">       </w:t>
                    </w:r>
                    <w:r w:rsidRPr="001D2CB1">
                      <w:rPr>
                        <w:rFonts w:ascii="Arial Rounded MT Bold" w:hAnsi="Arial Rounded MT Bold"/>
                        <w:b/>
                        <w:color w:val="FFFFFF" w:themeColor="background1"/>
                        <w:sz w:val="20"/>
                        <w:szCs w:val="20"/>
                      </w:rPr>
                      <w:t>OPEN ACCESS</w:t>
                    </w:r>
                  </w:p>
                </w:txbxContent>
              </v:textbox>
              <w10:wrap type="square"/>
            </v:shape>
          </w:pict>
        </mc:Fallback>
      </mc:AlternateContent>
    </w:r>
    <w:r>
      <w:rPr>
        <w:b/>
        <w:smallCaps/>
      </w:rPr>
      <w:tab/>
    </w:r>
    <w:r>
      <w:rPr>
        <w:b/>
        <w:smallCaps/>
      </w:rPr>
      <w:tab/>
    </w:r>
  </w:p>
  <w:p w14:paraId="55AF105C" w14:textId="7F0A190B" w:rsidR="000261B1" w:rsidRDefault="000261B1" w:rsidP="006A0B67">
    <w:pPr>
      <w:rPr>
        <w:b/>
        <w:smallCaps/>
      </w:rPr>
    </w:pPr>
    <w:r>
      <w:rPr>
        <w:b/>
        <w:smallCaps/>
        <w:noProof/>
        <w:sz w:val="16"/>
        <w:szCs w:val="16"/>
        <w:lang w:eastAsia="pt-BR"/>
      </w:rPr>
      <w:drawing>
        <wp:anchor distT="0" distB="0" distL="114300" distR="114300" simplePos="0" relativeHeight="251644928" behindDoc="0" locked="0" layoutInCell="1" allowOverlap="1" wp14:anchorId="78FC3304" wp14:editId="2688F036">
          <wp:simplePos x="0" y="0"/>
          <wp:positionH relativeFrom="column">
            <wp:posOffset>1600200</wp:posOffset>
          </wp:positionH>
          <wp:positionV relativeFrom="paragraph">
            <wp:posOffset>163195</wp:posOffset>
          </wp:positionV>
          <wp:extent cx="2314575" cy="704850"/>
          <wp:effectExtent l="0" t="0" r="9525"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BJPE.jpg"/>
                  <pic:cNvPicPr/>
                </pic:nvPicPr>
                <pic:blipFill rotWithShape="1">
                  <a:blip r:embed="rId2">
                    <a:extLst>
                      <a:ext uri="{28A0092B-C50C-407E-A947-70E740481C1C}">
                        <a14:useLocalDpi xmlns:a14="http://schemas.microsoft.com/office/drawing/2010/main" val="0"/>
                      </a:ext>
                    </a:extLst>
                  </a:blip>
                  <a:srcRect t="20066" r="29821" b="5686"/>
                  <a:stretch/>
                </pic:blipFill>
                <pic:spPr bwMode="auto">
                  <a:xfrm>
                    <a:off x="0" y="0"/>
                    <a:ext cx="2314575" cy="704850"/>
                  </a:xfrm>
                  <a:prstGeom prst="rect">
                    <a:avLst/>
                  </a:prstGeom>
                  <a:ln>
                    <a:noFill/>
                  </a:ln>
                  <a:extLst>
                    <a:ext uri="{53640926-AAD7-44D8-BBD7-CCE9431645EC}">
                      <a14:shadowObscured xmlns:a14="http://schemas.microsoft.com/office/drawing/2010/main"/>
                    </a:ext>
                  </a:extLst>
                </pic:spPr>
              </pic:pic>
            </a:graphicData>
          </a:graphic>
        </wp:anchor>
      </w:drawing>
    </w:r>
  </w:p>
  <w:p w14:paraId="5BA6EAC4" w14:textId="61B30AD7" w:rsidR="000261B1" w:rsidRPr="00747DDB" w:rsidRDefault="000261B1" w:rsidP="006A0B67">
    <w:pPr>
      <w:rPr>
        <w:b/>
        <w:smallCaps/>
      </w:rPr>
    </w:pPr>
    <w:r>
      <w:rPr>
        <w:b/>
        <w:smallCaps/>
        <w:noProof/>
        <w:lang w:eastAsia="pt-BR"/>
      </w:rPr>
      <w:drawing>
        <wp:anchor distT="0" distB="0" distL="114300" distR="114300" simplePos="0" relativeHeight="251677696" behindDoc="0" locked="0" layoutInCell="1" allowOverlap="1" wp14:anchorId="5837F371" wp14:editId="625C1CB9">
          <wp:simplePos x="0" y="0"/>
          <wp:positionH relativeFrom="column">
            <wp:posOffset>4262739</wp:posOffset>
          </wp:positionH>
          <wp:positionV relativeFrom="paragraph">
            <wp:posOffset>98425</wp:posOffset>
          </wp:positionV>
          <wp:extent cx="1467485" cy="608800"/>
          <wp:effectExtent l="0" t="0" r="0" b="127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mpus_sao_mateus_modelo2.jpg"/>
                  <pic:cNvPicPr/>
                </pic:nvPicPr>
                <pic:blipFill>
                  <a:blip r:embed="rId3">
                    <a:extLst>
                      <a:ext uri="{28A0092B-C50C-407E-A947-70E740481C1C}">
                        <a14:useLocalDpi xmlns:a14="http://schemas.microsoft.com/office/drawing/2010/main" val="0"/>
                      </a:ext>
                    </a:extLst>
                  </a:blip>
                  <a:stretch>
                    <a:fillRect/>
                  </a:stretch>
                </pic:blipFill>
                <pic:spPr>
                  <a:xfrm>
                    <a:off x="0" y="0"/>
                    <a:ext cx="1467485" cy="608800"/>
                  </a:xfrm>
                  <a:prstGeom prst="rect">
                    <a:avLst/>
                  </a:prstGeom>
                </pic:spPr>
              </pic:pic>
            </a:graphicData>
          </a:graphic>
          <wp14:sizeRelV relativeFrom="margin">
            <wp14:pctHeight>0</wp14:pctHeight>
          </wp14:sizeRelV>
        </wp:anchor>
      </w:drawing>
    </w:r>
  </w:p>
  <w:p w14:paraId="10098A93" w14:textId="7ABE4528" w:rsidR="000261B1" w:rsidRPr="00747DDB" w:rsidRDefault="000261B1" w:rsidP="00754094">
    <w:pPr>
      <w:jc w:val="center"/>
      <w:rPr>
        <w:b/>
        <w:smallCap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3117B" w14:textId="77777777" w:rsidR="000261B1" w:rsidRPr="00304994" w:rsidRDefault="000261B1">
    <w:pPr>
      <w:pStyle w:val="Cabealho"/>
      <w:rPr>
        <w:rFonts w:ascii="Arial" w:hAnsi="Arial" w:cs="Arial"/>
        <w:sz w:val="20"/>
        <w:szCs w:val="20"/>
      </w:rPr>
    </w:pPr>
    <w:r w:rsidRPr="00304994">
      <w:rPr>
        <w:rFonts w:ascii="Arial" w:hAnsi="Arial" w:cs="Arial"/>
        <w:sz w:val="20"/>
        <w:szCs w:val="20"/>
      </w:rPr>
      <w:fldChar w:fldCharType="begin"/>
    </w:r>
    <w:r w:rsidRPr="00304994">
      <w:rPr>
        <w:rFonts w:ascii="Arial" w:hAnsi="Arial" w:cs="Arial"/>
        <w:sz w:val="20"/>
        <w:szCs w:val="20"/>
      </w:rPr>
      <w:instrText xml:space="preserve"> PAGE   \* MERGEFORMAT </w:instrText>
    </w:r>
    <w:r w:rsidRPr="00304994">
      <w:rPr>
        <w:rFonts w:ascii="Arial" w:hAnsi="Arial" w:cs="Arial"/>
        <w:sz w:val="20"/>
        <w:szCs w:val="20"/>
      </w:rPr>
      <w:fldChar w:fldCharType="separate"/>
    </w:r>
    <w:r>
      <w:rPr>
        <w:rFonts w:ascii="Arial" w:hAnsi="Arial" w:cs="Arial"/>
        <w:noProof/>
        <w:sz w:val="20"/>
        <w:szCs w:val="20"/>
      </w:rPr>
      <w:t>8</w:t>
    </w:r>
    <w:r w:rsidRPr="00304994">
      <w:rP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855228"/>
      <w:docPartObj>
        <w:docPartGallery w:val="Page Numbers (Top of Page)"/>
        <w:docPartUnique/>
      </w:docPartObj>
    </w:sdtPr>
    <w:sdtContent>
      <w:p w14:paraId="41029CB8" w14:textId="77777777" w:rsidR="000261B1" w:rsidRDefault="000261B1" w:rsidP="00DE6F86">
        <w:pPr>
          <w:pStyle w:val="Cabealho"/>
          <w:tabs>
            <w:tab w:val="clear" w:pos="4252"/>
            <w:tab w:val="clear" w:pos="8504"/>
          </w:tabs>
          <w:ind w:right="71"/>
          <w:jc w:val="center"/>
        </w:pPr>
        <w:r w:rsidRPr="00DE6F86">
          <w:rPr>
            <w:b/>
            <w:i/>
            <w:sz w:val="20"/>
            <w:szCs w:val="20"/>
          </w:rPr>
          <w:fldChar w:fldCharType="begin"/>
        </w:r>
        <w:r w:rsidRPr="00DE6F86">
          <w:rPr>
            <w:b/>
            <w:i/>
            <w:sz w:val="20"/>
            <w:szCs w:val="20"/>
          </w:rPr>
          <w:instrText xml:space="preserve"> PAGE   \* MERGEFORMAT </w:instrText>
        </w:r>
        <w:r w:rsidRPr="00DE6F86">
          <w:rPr>
            <w:b/>
            <w:i/>
            <w:sz w:val="20"/>
            <w:szCs w:val="20"/>
          </w:rPr>
          <w:fldChar w:fldCharType="separate"/>
        </w:r>
        <w:r w:rsidR="00C8627B">
          <w:rPr>
            <w:b/>
            <w:i/>
            <w:noProof/>
            <w:sz w:val="20"/>
            <w:szCs w:val="20"/>
          </w:rPr>
          <w:t>18</w:t>
        </w:r>
        <w:r w:rsidRPr="00DE6F86">
          <w:rPr>
            <w:b/>
            <w:i/>
            <w:sz w:val="20"/>
            <w:szCs w:val="20"/>
          </w:rPr>
          <w:fldChar w:fldCharType="end"/>
        </w:r>
        <w:r>
          <w:t xml:space="preserve"> </w:t>
        </w:r>
      </w:p>
      <w:sdt>
        <w:sdtPr>
          <w:id w:val="1408804620"/>
          <w:docPartObj>
            <w:docPartGallery w:val="Page Numbers (Top of Page)"/>
            <w:docPartUnique/>
          </w:docPartObj>
        </w:sdtPr>
        <w:sdtContent>
          <w:p w14:paraId="143CDD7A" w14:textId="74DFEDE9" w:rsidR="000261B1" w:rsidRDefault="000261B1" w:rsidP="00DE6F86">
            <w:pPr>
              <w:pStyle w:val="Cabealho"/>
              <w:tabs>
                <w:tab w:val="clear" w:pos="4252"/>
                <w:tab w:val="clear" w:pos="8504"/>
              </w:tabs>
              <w:ind w:right="71"/>
              <w:jc w:val="center"/>
              <w:rPr>
                <w:sz w:val="16"/>
                <w:szCs w:val="16"/>
                <w14:textOutline w14:w="9525" w14:cap="rnd" w14:cmpd="sng" w14:algn="ctr">
                  <w14:noFill/>
                  <w14:prstDash w14:val="solid"/>
                  <w14:bevel/>
                </w14:textOutline>
              </w:rPr>
            </w:pPr>
          </w:p>
          <w:p w14:paraId="7DE0CDD9" w14:textId="005FD59F" w:rsidR="000261B1" w:rsidRPr="00064866" w:rsidRDefault="000261B1" w:rsidP="00DE6F86">
            <w:pPr>
              <w:pStyle w:val="Cabealho"/>
              <w:tabs>
                <w:tab w:val="clear" w:pos="4252"/>
              </w:tabs>
              <w:ind w:right="71"/>
              <w:jc w:val="center"/>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pict w14:anchorId="3A2ABA61">
                <v:rect id="_x0000_i1030" style="width:0;height:1.5pt" o:hralign="center" o:hrstd="t" o:hr="t" fillcolor="#a0a0a0" stroked="f"/>
              </w:pict>
            </w:r>
          </w:p>
        </w:sdtContent>
      </w:sdt>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AF67C" w14:textId="77777777" w:rsidR="000261B1" w:rsidRDefault="000261B1">
    <w:pPr>
      <w:pStyle w:val="Cabealho"/>
    </w:pPr>
    <w:r>
      <w:fldChar w:fldCharType="begin"/>
    </w:r>
    <w:r>
      <w:instrText xml:space="preserve"> PAGE   \* MERGEFORMAT </w:instrText>
    </w:r>
    <w:r>
      <w:fldChar w:fldCharType="separate"/>
    </w:r>
    <w:r>
      <w:rPr>
        <w:noProof/>
      </w:rPr>
      <w:t>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28854" w14:textId="77777777" w:rsidR="000261B1" w:rsidRPr="00432024" w:rsidRDefault="000261B1" w:rsidP="00432024">
    <w:pPr>
      <w:pStyle w:val="Cabealho"/>
      <w:jc w:val="center"/>
      <w:rPr>
        <w:b/>
        <w:sz w:val="20"/>
        <w:szCs w:val="20"/>
      </w:rPr>
    </w:pPr>
    <w:r w:rsidRPr="00432024">
      <w:rPr>
        <w:b/>
        <w:sz w:val="20"/>
        <w:szCs w:val="20"/>
      </w:rPr>
      <w:fldChar w:fldCharType="begin"/>
    </w:r>
    <w:r w:rsidRPr="00432024">
      <w:rPr>
        <w:b/>
        <w:sz w:val="20"/>
        <w:szCs w:val="20"/>
      </w:rPr>
      <w:instrText xml:space="preserve"> PAGE   \* MERGEFORMAT </w:instrText>
    </w:r>
    <w:r w:rsidRPr="00432024">
      <w:rPr>
        <w:b/>
        <w:sz w:val="20"/>
        <w:szCs w:val="20"/>
      </w:rPr>
      <w:fldChar w:fldCharType="separate"/>
    </w:r>
    <w:r>
      <w:rPr>
        <w:b/>
        <w:noProof/>
        <w:sz w:val="20"/>
        <w:szCs w:val="20"/>
      </w:rPr>
      <w:t>18</w:t>
    </w:r>
    <w:r w:rsidRPr="00432024">
      <w:rPr>
        <w:b/>
        <w:sz w:val="20"/>
        <w:szCs w:val="20"/>
      </w:rPr>
      <w:fldChar w:fldCharType="end"/>
    </w:r>
  </w:p>
  <w:p w14:paraId="297437F0" w14:textId="21855DDE" w:rsidR="000261B1" w:rsidRDefault="000261B1" w:rsidP="00432024">
    <w:pPr>
      <w:pStyle w:val="Cabealho"/>
      <w:jc w:val="center"/>
    </w:pPr>
    <w:r w:rsidRPr="0070602A">
      <w:rPr>
        <w:sz w:val="16"/>
        <w:szCs w:val="16"/>
        <w14:textOutline w14:w="9525" w14:cap="rnd" w14:cmpd="sng" w14:algn="ctr">
          <w14:noFill/>
          <w14:prstDash w14:val="solid"/>
          <w14:bevel/>
        </w14:textOutline>
      </w:rPr>
      <w:t>SECCHIM, A. B., FREITAS, R</w:t>
    </w:r>
    <w:r>
      <w:rPr>
        <w:sz w:val="16"/>
        <w:szCs w:val="16"/>
        <w14:textOutline w14:w="9525" w14:cap="rnd" w14:cmpd="sng" w14:algn="ctr">
          <w14:noFill/>
          <w14:prstDash w14:val="solid"/>
          <w14:bevel/>
        </w14:textOutline>
      </w:rPr>
      <w:t>. R. de, &amp; GONCALVES, W.</w:t>
    </w:r>
    <w:r w:rsidRPr="0070602A">
      <w:rPr>
        <w:sz w:val="16"/>
        <w:szCs w:val="16"/>
        <w14:textOutline w14:w="9525" w14:cap="rnd" w14:cmpd="sng" w14:algn="ctr">
          <w14:noFill/>
          <w14:prstDash w14:val="solid"/>
          <w14:bevel/>
        </w14:textOutline>
      </w:rPr>
      <w:t xml:space="preserve"> Mapeamento e análise bibliométrica da utilização da análise envoltória de dados (DEA) em estudos de engenharia de produção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3663"/>
    <w:multiLevelType w:val="hybridMultilevel"/>
    <w:tmpl w:val="4FD888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52E5C0E"/>
    <w:multiLevelType w:val="hybridMultilevel"/>
    <w:tmpl w:val="1884EE4C"/>
    <w:lvl w:ilvl="0" w:tplc="66E4D078">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nsid w:val="21AD3428"/>
    <w:multiLevelType w:val="hybridMultilevel"/>
    <w:tmpl w:val="20B8B99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nsid w:val="24C2617C"/>
    <w:multiLevelType w:val="multilevel"/>
    <w:tmpl w:val="29A877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E8F2B25"/>
    <w:multiLevelType w:val="hybridMultilevel"/>
    <w:tmpl w:val="B8AE70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2CB19DE"/>
    <w:multiLevelType w:val="hybridMultilevel"/>
    <w:tmpl w:val="21AACC3E"/>
    <w:lvl w:ilvl="0" w:tplc="BA0E2D56">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36E0616"/>
    <w:multiLevelType w:val="hybridMultilevel"/>
    <w:tmpl w:val="46767C6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445373D6"/>
    <w:multiLevelType w:val="hybridMultilevel"/>
    <w:tmpl w:val="5AB06B88"/>
    <w:lvl w:ilvl="0" w:tplc="00010409">
      <w:start w:val="1"/>
      <w:numFmt w:val="bullet"/>
      <w:lvlText w:val=""/>
      <w:lvlJc w:val="left"/>
      <w:pPr>
        <w:tabs>
          <w:tab w:val="num" w:pos="1004"/>
        </w:tabs>
        <w:ind w:left="1004" w:hanging="360"/>
      </w:pPr>
      <w:rPr>
        <w:rFonts w:ascii="Symbol" w:hAnsi="Symbol" w:hint="default"/>
      </w:rPr>
    </w:lvl>
    <w:lvl w:ilvl="1" w:tplc="00030409" w:tentative="1">
      <w:start w:val="1"/>
      <w:numFmt w:val="bullet"/>
      <w:lvlText w:val="o"/>
      <w:lvlJc w:val="left"/>
      <w:pPr>
        <w:tabs>
          <w:tab w:val="num" w:pos="1724"/>
        </w:tabs>
        <w:ind w:left="1724" w:hanging="360"/>
      </w:pPr>
      <w:rPr>
        <w:rFonts w:ascii="Courier New" w:hAnsi="Courier New" w:hint="default"/>
      </w:rPr>
    </w:lvl>
    <w:lvl w:ilvl="2" w:tplc="00050409" w:tentative="1">
      <w:start w:val="1"/>
      <w:numFmt w:val="bullet"/>
      <w:lvlText w:val=""/>
      <w:lvlJc w:val="left"/>
      <w:pPr>
        <w:tabs>
          <w:tab w:val="num" w:pos="2444"/>
        </w:tabs>
        <w:ind w:left="2444" w:hanging="360"/>
      </w:pPr>
      <w:rPr>
        <w:rFonts w:ascii="Wingdings" w:hAnsi="Wingdings" w:hint="default"/>
      </w:rPr>
    </w:lvl>
    <w:lvl w:ilvl="3" w:tplc="00010409" w:tentative="1">
      <w:start w:val="1"/>
      <w:numFmt w:val="bullet"/>
      <w:lvlText w:val=""/>
      <w:lvlJc w:val="left"/>
      <w:pPr>
        <w:tabs>
          <w:tab w:val="num" w:pos="3164"/>
        </w:tabs>
        <w:ind w:left="3164" w:hanging="360"/>
      </w:pPr>
      <w:rPr>
        <w:rFonts w:ascii="Symbol" w:hAnsi="Symbol" w:hint="default"/>
      </w:rPr>
    </w:lvl>
    <w:lvl w:ilvl="4" w:tplc="00030409" w:tentative="1">
      <w:start w:val="1"/>
      <w:numFmt w:val="bullet"/>
      <w:lvlText w:val="o"/>
      <w:lvlJc w:val="left"/>
      <w:pPr>
        <w:tabs>
          <w:tab w:val="num" w:pos="3884"/>
        </w:tabs>
        <w:ind w:left="3884" w:hanging="360"/>
      </w:pPr>
      <w:rPr>
        <w:rFonts w:ascii="Courier New" w:hAnsi="Courier New" w:hint="default"/>
      </w:rPr>
    </w:lvl>
    <w:lvl w:ilvl="5" w:tplc="00050409" w:tentative="1">
      <w:start w:val="1"/>
      <w:numFmt w:val="bullet"/>
      <w:lvlText w:val=""/>
      <w:lvlJc w:val="left"/>
      <w:pPr>
        <w:tabs>
          <w:tab w:val="num" w:pos="4604"/>
        </w:tabs>
        <w:ind w:left="4604" w:hanging="360"/>
      </w:pPr>
      <w:rPr>
        <w:rFonts w:ascii="Wingdings" w:hAnsi="Wingdings" w:hint="default"/>
      </w:rPr>
    </w:lvl>
    <w:lvl w:ilvl="6" w:tplc="00010409" w:tentative="1">
      <w:start w:val="1"/>
      <w:numFmt w:val="bullet"/>
      <w:lvlText w:val=""/>
      <w:lvlJc w:val="left"/>
      <w:pPr>
        <w:tabs>
          <w:tab w:val="num" w:pos="5324"/>
        </w:tabs>
        <w:ind w:left="5324" w:hanging="360"/>
      </w:pPr>
      <w:rPr>
        <w:rFonts w:ascii="Symbol" w:hAnsi="Symbol" w:hint="default"/>
      </w:rPr>
    </w:lvl>
    <w:lvl w:ilvl="7" w:tplc="00030409" w:tentative="1">
      <w:start w:val="1"/>
      <w:numFmt w:val="bullet"/>
      <w:lvlText w:val="o"/>
      <w:lvlJc w:val="left"/>
      <w:pPr>
        <w:tabs>
          <w:tab w:val="num" w:pos="6044"/>
        </w:tabs>
        <w:ind w:left="6044" w:hanging="360"/>
      </w:pPr>
      <w:rPr>
        <w:rFonts w:ascii="Courier New" w:hAnsi="Courier New" w:hint="default"/>
      </w:rPr>
    </w:lvl>
    <w:lvl w:ilvl="8" w:tplc="00050409" w:tentative="1">
      <w:start w:val="1"/>
      <w:numFmt w:val="bullet"/>
      <w:lvlText w:val=""/>
      <w:lvlJc w:val="left"/>
      <w:pPr>
        <w:tabs>
          <w:tab w:val="num" w:pos="6764"/>
        </w:tabs>
        <w:ind w:left="6764" w:hanging="360"/>
      </w:pPr>
      <w:rPr>
        <w:rFonts w:ascii="Wingdings" w:hAnsi="Wingdings" w:hint="default"/>
      </w:rPr>
    </w:lvl>
  </w:abstractNum>
  <w:abstractNum w:abstractNumId="8">
    <w:nsid w:val="727E176C"/>
    <w:multiLevelType w:val="hybridMultilevel"/>
    <w:tmpl w:val="68FC1D6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nsid w:val="7F2C0F77"/>
    <w:multiLevelType w:val="multilevel"/>
    <w:tmpl w:val="86F87FF4"/>
    <w:lvl w:ilvl="0">
      <w:start w:val="1"/>
      <w:numFmt w:val="decimal"/>
      <w:lvlText w:val="%1."/>
      <w:lvlJc w:val="left"/>
      <w:pPr>
        <w:ind w:left="720" w:hanging="360"/>
      </w:pPr>
    </w:lvl>
    <w:lvl w:ilvl="1">
      <w:start w:val="1"/>
      <w:numFmt w:val="decimal"/>
      <w:isLgl/>
      <w:lvlText w:val="%1.%2."/>
      <w:lvlJc w:val="left"/>
      <w:pPr>
        <w:ind w:left="1080" w:hanging="360"/>
      </w:pPr>
      <w:rPr>
        <w:i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nsid w:val="7F97275B"/>
    <w:multiLevelType w:val="hybridMultilevel"/>
    <w:tmpl w:val="307E97C6"/>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7"/>
  </w:num>
  <w:num w:numId="2">
    <w:abstractNumId w:val="0"/>
  </w:num>
  <w:num w:numId="3">
    <w:abstractNumId w:val="5"/>
  </w:num>
  <w:num w:numId="4">
    <w:abstractNumId w:val="10"/>
  </w:num>
  <w:num w:numId="5">
    <w:abstractNumId w:val="2"/>
  </w:num>
  <w:num w:numId="6">
    <w:abstractNumId w:val="6"/>
  </w:num>
  <w:num w:numId="7">
    <w:abstractNumId w:val="3"/>
  </w:num>
  <w:num w:numId="8">
    <w:abstractNumId w:val="4"/>
  </w:num>
  <w:num w:numId="9">
    <w:abstractNumId w:val="1"/>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D5A"/>
    <w:rsid w:val="00004A62"/>
    <w:rsid w:val="000065B2"/>
    <w:rsid w:val="00013982"/>
    <w:rsid w:val="000153F8"/>
    <w:rsid w:val="000261B1"/>
    <w:rsid w:val="00027474"/>
    <w:rsid w:val="0003188F"/>
    <w:rsid w:val="00033AAC"/>
    <w:rsid w:val="00035C68"/>
    <w:rsid w:val="000372DD"/>
    <w:rsid w:val="00045D70"/>
    <w:rsid w:val="00046017"/>
    <w:rsid w:val="000474A4"/>
    <w:rsid w:val="00051E05"/>
    <w:rsid w:val="00055AFE"/>
    <w:rsid w:val="00063A3F"/>
    <w:rsid w:val="00064866"/>
    <w:rsid w:val="00066930"/>
    <w:rsid w:val="00071288"/>
    <w:rsid w:val="00083559"/>
    <w:rsid w:val="0008359B"/>
    <w:rsid w:val="00084D63"/>
    <w:rsid w:val="00094191"/>
    <w:rsid w:val="00096689"/>
    <w:rsid w:val="000A18B8"/>
    <w:rsid w:val="000A4176"/>
    <w:rsid w:val="000A4792"/>
    <w:rsid w:val="000A5191"/>
    <w:rsid w:val="000A7F20"/>
    <w:rsid w:val="000B3F76"/>
    <w:rsid w:val="000B51FB"/>
    <w:rsid w:val="000B5DAF"/>
    <w:rsid w:val="000B75CC"/>
    <w:rsid w:val="000C7B33"/>
    <w:rsid w:val="000E648F"/>
    <w:rsid w:val="000F035D"/>
    <w:rsid w:val="000F29A6"/>
    <w:rsid w:val="000F5CAD"/>
    <w:rsid w:val="000F7FEC"/>
    <w:rsid w:val="0010085E"/>
    <w:rsid w:val="00102E51"/>
    <w:rsid w:val="00110CDA"/>
    <w:rsid w:val="0012304D"/>
    <w:rsid w:val="001371A8"/>
    <w:rsid w:val="00142C31"/>
    <w:rsid w:val="00143B4D"/>
    <w:rsid w:val="001452FE"/>
    <w:rsid w:val="001478F1"/>
    <w:rsid w:val="00152F39"/>
    <w:rsid w:val="0015415A"/>
    <w:rsid w:val="001576C9"/>
    <w:rsid w:val="001578CE"/>
    <w:rsid w:val="00162425"/>
    <w:rsid w:val="00162B65"/>
    <w:rsid w:val="0016374A"/>
    <w:rsid w:val="00164878"/>
    <w:rsid w:val="00165B18"/>
    <w:rsid w:val="00166C71"/>
    <w:rsid w:val="00171423"/>
    <w:rsid w:val="00176769"/>
    <w:rsid w:val="00192DA6"/>
    <w:rsid w:val="00195A88"/>
    <w:rsid w:val="00196F6B"/>
    <w:rsid w:val="001A28A3"/>
    <w:rsid w:val="001A4AE7"/>
    <w:rsid w:val="001A7846"/>
    <w:rsid w:val="001B02A9"/>
    <w:rsid w:val="001B6973"/>
    <w:rsid w:val="001D0F59"/>
    <w:rsid w:val="001D2CB1"/>
    <w:rsid w:val="001D40F7"/>
    <w:rsid w:val="001D4DB8"/>
    <w:rsid w:val="001D7A77"/>
    <w:rsid w:val="001E15CD"/>
    <w:rsid w:val="00205734"/>
    <w:rsid w:val="00206852"/>
    <w:rsid w:val="00207A9B"/>
    <w:rsid w:val="00215DFC"/>
    <w:rsid w:val="00224CB6"/>
    <w:rsid w:val="00225EF5"/>
    <w:rsid w:val="00236D8C"/>
    <w:rsid w:val="002401A9"/>
    <w:rsid w:val="00240E4C"/>
    <w:rsid w:val="0024420B"/>
    <w:rsid w:val="00245755"/>
    <w:rsid w:val="002550B9"/>
    <w:rsid w:val="00263008"/>
    <w:rsid w:val="00273F0F"/>
    <w:rsid w:val="00276098"/>
    <w:rsid w:val="00282240"/>
    <w:rsid w:val="00283EE9"/>
    <w:rsid w:val="002850F5"/>
    <w:rsid w:val="002978E1"/>
    <w:rsid w:val="002A04F0"/>
    <w:rsid w:val="002A3FBB"/>
    <w:rsid w:val="002C084E"/>
    <w:rsid w:val="002C2A81"/>
    <w:rsid w:val="002C3A96"/>
    <w:rsid w:val="00302282"/>
    <w:rsid w:val="00304994"/>
    <w:rsid w:val="003054D5"/>
    <w:rsid w:val="003112DD"/>
    <w:rsid w:val="00316B3A"/>
    <w:rsid w:val="0031706D"/>
    <w:rsid w:val="0032101F"/>
    <w:rsid w:val="0032184F"/>
    <w:rsid w:val="0032362F"/>
    <w:rsid w:val="003401FE"/>
    <w:rsid w:val="003404CE"/>
    <w:rsid w:val="00351BAF"/>
    <w:rsid w:val="00354ADB"/>
    <w:rsid w:val="003612C3"/>
    <w:rsid w:val="00366BCD"/>
    <w:rsid w:val="00371301"/>
    <w:rsid w:val="00372F1C"/>
    <w:rsid w:val="003818D9"/>
    <w:rsid w:val="00382F83"/>
    <w:rsid w:val="0038661B"/>
    <w:rsid w:val="00387755"/>
    <w:rsid w:val="00394B1C"/>
    <w:rsid w:val="003B605F"/>
    <w:rsid w:val="003B6D51"/>
    <w:rsid w:val="003D5CE9"/>
    <w:rsid w:val="003E226F"/>
    <w:rsid w:val="003E7CB3"/>
    <w:rsid w:val="003F0C4A"/>
    <w:rsid w:val="003F28DC"/>
    <w:rsid w:val="00417113"/>
    <w:rsid w:val="00423069"/>
    <w:rsid w:val="00423A34"/>
    <w:rsid w:val="00424EC3"/>
    <w:rsid w:val="00432024"/>
    <w:rsid w:val="00435A65"/>
    <w:rsid w:val="0043665B"/>
    <w:rsid w:val="00440B35"/>
    <w:rsid w:val="00442DDB"/>
    <w:rsid w:val="004434CE"/>
    <w:rsid w:val="00445240"/>
    <w:rsid w:val="00451F46"/>
    <w:rsid w:val="004576DA"/>
    <w:rsid w:val="004629FC"/>
    <w:rsid w:val="00467F03"/>
    <w:rsid w:val="004720F9"/>
    <w:rsid w:val="00481859"/>
    <w:rsid w:val="0048593F"/>
    <w:rsid w:val="00485B8A"/>
    <w:rsid w:val="00486C21"/>
    <w:rsid w:val="004A0302"/>
    <w:rsid w:val="004A78F4"/>
    <w:rsid w:val="004B4580"/>
    <w:rsid w:val="004B63C0"/>
    <w:rsid w:val="004B7C02"/>
    <w:rsid w:val="004C072F"/>
    <w:rsid w:val="004C1133"/>
    <w:rsid w:val="004C353E"/>
    <w:rsid w:val="004D7E90"/>
    <w:rsid w:val="004E15CD"/>
    <w:rsid w:val="004E366A"/>
    <w:rsid w:val="00501F1D"/>
    <w:rsid w:val="005107E6"/>
    <w:rsid w:val="00512A3B"/>
    <w:rsid w:val="00523A63"/>
    <w:rsid w:val="00532723"/>
    <w:rsid w:val="005375EE"/>
    <w:rsid w:val="0053793A"/>
    <w:rsid w:val="005448B4"/>
    <w:rsid w:val="00551A42"/>
    <w:rsid w:val="00553E1E"/>
    <w:rsid w:val="0056599F"/>
    <w:rsid w:val="00566615"/>
    <w:rsid w:val="005702DA"/>
    <w:rsid w:val="005705E7"/>
    <w:rsid w:val="00591193"/>
    <w:rsid w:val="005952D7"/>
    <w:rsid w:val="005B0F19"/>
    <w:rsid w:val="005C5E84"/>
    <w:rsid w:val="005D2702"/>
    <w:rsid w:val="005D7976"/>
    <w:rsid w:val="005E092B"/>
    <w:rsid w:val="005E16C0"/>
    <w:rsid w:val="005E1B54"/>
    <w:rsid w:val="005E5519"/>
    <w:rsid w:val="005F38A5"/>
    <w:rsid w:val="005F5AB7"/>
    <w:rsid w:val="00607FE2"/>
    <w:rsid w:val="00613039"/>
    <w:rsid w:val="00613D5A"/>
    <w:rsid w:val="00617EDA"/>
    <w:rsid w:val="00622233"/>
    <w:rsid w:val="0062465F"/>
    <w:rsid w:val="00627029"/>
    <w:rsid w:val="00635FEA"/>
    <w:rsid w:val="00642A35"/>
    <w:rsid w:val="00647AED"/>
    <w:rsid w:val="00650F9B"/>
    <w:rsid w:val="00653E8E"/>
    <w:rsid w:val="00656302"/>
    <w:rsid w:val="0066791F"/>
    <w:rsid w:val="0068085D"/>
    <w:rsid w:val="00695CA3"/>
    <w:rsid w:val="006A0B67"/>
    <w:rsid w:val="006C01AF"/>
    <w:rsid w:val="006C599D"/>
    <w:rsid w:val="006C6D27"/>
    <w:rsid w:val="006E6E06"/>
    <w:rsid w:val="006E747E"/>
    <w:rsid w:val="006F4DD7"/>
    <w:rsid w:val="006F5358"/>
    <w:rsid w:val="0070178E"/>
    <w:rsid w:val="0070602A"/>
    <w:rsid w:val="00725649"/>
    <w:rsid w:val="007259AD"/>
    <w:rsid w:val="007311D5"/>
    <w:rsid w:val="007336CB"/>
    <w:rsid w:val="00740374"/>
    <w:rsid w:val="007403BF"/>
    <w:rsid w:val="00747DDB"/>
    <w:rsid w:val="00750191"/>
    <w:rsid w:val="00754094"/>
    <w:rsid w:val="007575B6"/>
    <w:rsid w:val="00757C31"/>
    <w:rsid w:val="0077011A"/>
    <w:rsid w:val="00774109"/>
    <w:rsid w:val="00781BBC"/>
    <w:rsid w:val="007821BA"/>
    <w:rsid w:val="007855E9"/>
    <w:rsid w:val="00786784"/>
    <w:rsid w:val="007A204D"/>
    <w:rsid w:val="007A6329"/>
    <w:rsid w:val="007A7827"/>
    <w:rsid w:val="007B0DDD"/>
    <w:rsid w:val="007B31A0"/>
    <w:rsid w:val="007B5FB5"/>
    <w:rsid w:val="007B68B0"/>
    <w:rsid w:val="007B7963"/>
    <w:rsid w:val="007C0C3F"/>
    <w:rsid w:val="007C55FA"/>
    <w:rsid w:val="007D3682"/>
    <w:rsid w:val="007E68C3"/>
    <w:rsid w:val="007F58DA"/>
    <w:rsid w:val="007F6116"/>
    <w:rsid w:val="007F7A7D"/>
    <w:rsid w:val="0081413D"/>
    <w:rsid w:val="0081720D"/>
    <w:rsid w:val="0082632A"/>
    <w:rsid w:val="008269D8"/>
    <w:rsid w:val="0085340B"/>
    <w:rsid w:val="00860949"/>
    <w:rsid w:val="00862EB4"/>
    <w:rsid w:val="00863227"/>
    <w:rsid w:val="00864072"/>
    <w:rsid w:val="00865264"/>
    <w:rsid w:val="00866323"/>
    <w:rsid w:val="00867E7F"/>
    <w:rsid w:val="00872775"/>
    <w:rsid w:val="0087667B"/>
    <w:rsid w:val="00876ED7"/>
    <w:rsid w:val="00891E6A"/>
    <w:rsid w:val="0089347B"/>
    <w:rsid w:val="0089371C"/>
    <w:rsid w:val="008A3DBE"/>
    <w:rsid w:val="008B32E6"/>
    <w:rsid w:val="008B4987"/>
    <w:rsid w:val="008C4596"/>
    <w:rsid w:val="008E3E32"/>
    <w:rsid w:val="008E3ECC"/>
    <w:rsid w:val="008F7F54"/>
    <w:rsid w:val="009026DE"/>
    <w:rsid w:val="009039FF"/>
    <w:rsid w:val="00912608"/>
    <w:rsid w:val="009251BC"/>
    <w:rsid w:val="00926D6B"/>
    <w:rsid w:val="0092715B"/>
    <w:rsid w:val="0093250F"/>
    <w:rsid w:val="00942316"/>
    <w:rsid w:val="0094539E"/>
    <w:rsid w:val="009458CF"/>
    <w:rsid w:val="0094638E"/>
    <w:rsid w:val="009467A2"/>
    <w:rsid w:val="0095084F"/>
    <w:rsid w:val="009540F6"/>
    <w:rsid w:val="009564C0"/>
    <w:rsid w:val="009678F1"/>
    <w:rsid w:val="00971086"/>
    <w:rsid w:val="009723DE"/>
    <w:rsid w:val="00975F84"/>
    <w:rsid w:val="00976D44"/>
    <w:rsid w:val="009813DE"/>
    <w:rsid w:val="00984BB5"/>
    <w:rsid w:val="0098621D"/>
    <w:rsid w:val="00986ADD"/>
    <w:rsid w:val="00991ABD"/>
    <w:rsid w:val="0099432C"/>
    <w:rsid w:val="00994C93"/>
    <w:rsid w:val="009B05AC"/>
    <w:rsid w:val="009B7595"/>
    <w:rsid w:val="009B79FB"/>
    <w:rsid w:val="009C0749"/>
    <w:rsid w:val="009D1FF1"/>
    <w:rsid w:val="009D5DAB"/>
    <w:rsid w:val="009E0E47"/>
    <w:rsid w:val="009E4EA9"/>
    <w:rsid w:val="009E6F31"/>
    <w:rsid w:val="009F04F1"/>
    <w:rsid w:val="009F148E"/>
    <w:rsid w:val="009F4B53"/>
    <w:rsid w:val="009F524E"/>
    <w:rsid w:val="00A05AD9"/>
    <w:rsid w:val="00A10F9E"/>
    <w:rsid w:val="00A1255A"/>
    <w:rsid w:val="00A174B5"/>
    <w:rsid w:val="00A204C7"/>
    <w:rsid w:val="00A2286D"/>
    <w:rsid w:val="00A231F4"/>
    <w:rsid w:val="00A27B1F"/>
    <w:rsid w:val="00A314BE"/>
    <w:rsid w:val="00A31E7B"/>
    <w:rsid w:val="00A32E28"/>
    <w:rsid w:val="00A33547"/>
    <w:rsid w:val="00A33E10"/>
    <w:rsid w:val="00A4020C"/>
    <w:rsid w:val="00A41DB9"/>
    <w:rsid w:val="00A46DDC"/>
    <w:rsid w:val="00A51592"/>
    <w:rsid w:val="00A55536"/>
    <w:rsid w:val="00A56900"/>
    <w:rsid w:val="00A70ACB"/>
    <w:rsid w:val="00A70DB2"/>
    <w:rsid w:val="00A7348B"/>
    <w:rsid w:val="00A739F4"/>
    <w:rsid w:val="00A74F90"/>
    <w:rsid w:val="00A81274"/>
    <w:rsid w:val="00A814DB"/>
    <w:rsid w:val="00A84F1E"/>
    <w:rsid w:val="00A87668"/>
    <w:rsid w:val="00A920B2"/>
    <w:rsid w:val="00AA247B"/>
    <w:rsid w:val="00AA6653"/>
    <w:rsid w:val="00AB4A0B"/>
    <w:rsid w:val="00AB502C"/>
    <w:rsid w:val="00AB5D66"/>
    <w:rsid w:val="00AC7F7F"/>
    <w:rsid w:val="00AD0EF3"/>
    <w:rsid w:val="00AD235C"/>
    <w:rsid w:val="00AE3805"/>
    <w:rsid w:val="00AF6687"/>
    <w:rsid w:val="00AF786E"/>
    <w:rsid w:val="00B008CD"/>
    <w:rsid w:val="00B054A8"/>
    <w:rsid w:val="00B063FC"/>
    <w:rsid w:val="00B1106D"/>
    <w:rsid w:val="00B114EB"/>
    <w:rsid w:val="00B12F42"/>
    <w:rsid w:val="00B13A7D"/>
    <w:rsid w:val="00B17632"/>
    <w:rsid w:val="00B21AB3"/>
    <w:rsid w:val="00B253D3"/>
    <w:rsid w:val="00B27551"/>
    <w:rsid w:val="00B440C1"/>
    <w:rsid w:val="00B443FE"/>
    <w:rsid w:val="00B611F5"/>
    <w:rsid w:val="00B61A13"/>
    <w:rsid w:val="00B63507"/>
    <w:rsid w:val="00B651CF"/>
    <w:rsid w:val="00B77BC6"/>
    <w:rsid w:val="00B805E3"/>
    <w:rsid w:val="00B81373"/>
    <w:rsid w:val="00B956CA"/>
    <w:rsid w:val="00B9793E"/>
    <w:rsid w:val="00BA326E"/>
    <w:rsid w:val="00BB1039"/>
    <w:rsid w:val="00BC02EA"/>
    <w:rsid w:val="00BC2246"/>
    <w:rsid w:val="00BC35AD"/>
    <w:rsid w:val="00BC55D4"/>
    <w:rsid w:val="00BC74ED"/>
    <w:rsid w:val="00BD0DC4"/>
    <w:rsid w:val="00BD193A"/>
    <w:rsid w:val="00BD3874"/>
    <w:rsid w:val="00BE0679"/>
    <w:rsid w:val="00BE42C7"/>
    <w:rsid w:val="00C03CCA"/>
    <w:rsid w:val="00C04025"/>
    <w:rsid w:val="00C056A2"/>
    <w:rsid w:val="00C1387B"/>
    <w:rsid w:val="00C170BD"/>
    <w:rsid w:val="00C17C0D"/>
    <w:rsid w:val="00C17E23"/>
    <w:rsid w:val="00C22A8C"/>
    <w:rsid w:val="00C25768"/>
    <w:rsid w:val="00C27CDA"/>
    <w:rsid w:val="00C31C99"/>
    <w:rsid w:val="00C419BB"/>
    <w:rsid w:val="00C449AA"/>
    <w:rsid w:val="00C44DF5"/>
    <w:rsid w:val="00C52E59"/>
    <w:rsid w:val="00C56C64"/>
    <w:rsid w:val="00C6010B"/>
    <w:rsid w:val="00C61B4B"/>
    <w:rsid w:val="00C622C4"/>
    <w:rsid w:val="00C677A4"/>
    <w:rsid w:val="00C730C8"/>
    <w:rsid w:val="00C8476F"/>
    <w:rsid w:val="00C84E1B"/>
    <w:rsid w:val="00C8627B"/>
    <w:rsid w:val="00C92EB9"/>
    <w:rsid w:val="00C9478B"/>
    <w:rsid w:val="00CA2C30"/>
    <w:rsid w:val="00CA4028"/>
    <w:rsid w:val="00CA5201"/>
    <w:rsid w:val="00CB054F"/>
    <w:rsid w:val="00CB47EC"/>
    <w:rsid w:val="00CB7885"/>
    <w:rsid w:val="00CC38B2"/>
    <w:rsid w:val="00CD0D98"/>
    <w:rsid w:val="00CE09E4"/>
    <w:rsid w:val="00CF1C9F"/>
    <w:rsid w:val="00CF3D24"/>
    <w:rsid w:val="00CF483C"/>
    <w:rsid w:val="00D03C02"/>
    <w:rsid w:val="00D155C4"/>
    <w:rsid w:val="00D239F3"/>
    <w:rsid w:val="00D25007"/>
    <w:rsid w:val="00D26D3B"/>
    <w:rsid w:val="00D435F5"/>
    <w:rsid w:val="00D63F49"/>
    <w:rsid w:val="00D722F3"/>
    <w:rsid w:val="00D75258"/>
    <w:rsid w:val="00D76134"/>
    <w:rsid w:val="00D76A8B"/>
    <w:rsid w:val="00D81ABF"/>
    <w:rsid w:val="00D82398"/>
    <w:rsid w:val="00DA5D4D"/>
    <w:rsid w:val="00DA6500"/>
    <w:rsid w:val="00DD6EF7"/>
    <w:rsid w:val="00DE514A"/>
    <w:rsid w:val="00DE6F86"/>
    <w:rsid w:val="00DE7B16"/>
    <w:rsid w:val="00DE7F46"/>
    <w:rsid w:val="00DF3567"/>
    <w:rsid w:val="00DF785A"/>
    <w:rsid w:val="00E052D8"/>
    <w:rsid w:val="00E06208"/>
    <w:rsid w:val="00E1794F"/>
    <w:rsid w:val="00E34105"/>
    <w:rsid w:val="00E34D58"/>
    <w:rsid w:val="00E51CB3"/>
    <w:rsid w:val="00E5317E"/>
    <w:rsid w:val="00E54453"/>
    <w:rsid w:val="00E66D16"/>
    <w:rsid w:val="00E67D95"/>
    <w:rsid w:val="00E71463"/>
    <w:rsid w:val="00E809CB"/>
    <w:rsid w:val="00E82B23"/>
    <w:rsid w:val="00E8746C"/>
    <w:rsid w:val="00E916B2"/>
    <w:rsid w:val="00E9197F"/>
    <w:rsid w:val="00EA493C"/>
    <w:rsid w:val="00EA58F9"/>
    <w:rsid w:val="00EC13AA"/>
    <w:rsid w:val="00EC1C93"/>
    <w:rsid w:val="00EC27F2"/>
    <w:rsid w:val="00EC33EF"/>
    <w:rsid w:val="00ED0FC0"/>
    <w:rsid w:val="00ED3CB5"/>
    <w:rsid w:val="00ED6804"/>
    <w:rsid w:val="00EE41E9"/>
    <w:rsid w:val="00EE4737"/>
    <w:rsid w:val="00EF66EF"/>
    <w:rsid w:val="00F027D5"/>
    <w:rsid w:val="00F21C40"/>
    <w:rsid w:val="00F220FE"/>
    <w:rsid w:val="00F2323C"/>
    <w:rsid w:val="00F35DB8"/>
    <w:rsid w:val="00F42425"/>
    <w:rsid w:val="00F42C3E"/>
    <w:rsid w:val="00F631BC"/>
    <w:rsid w:val="00F66044"/>
    <w:rsid w:val="00F66C5E"/>
    <w:rsid w:val="00F81810"/>
    <w:rsid w:val="00F84183"/>
    <w:rsid w:val="00F8727C"/>
    <w:rsid w:val="00F87E5C"/>
    <w:rsid w:val="00F90DD1"/>
    <w:rsid w:val="00FA4356"/>
    <w:rsid w:val="00FB05AB"/>
    <w:rsid w:val="00FB14FA"/>
    <w:rsid w:val="00FD7D54"/>
    <w:rsid w:val="00FE4036"/>
    <w:rsid w:val="00FE44AD"/>
    <w:rsid w:val="00FF3F1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5AE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B68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semiHidden/>
    <w:rsid w:val="001B68EA"/>
  </w:style>
  <w:style w:type="character" w:styleId="Refdenotaderodap">
    <w:name w:val="footnote reference"/>
    <w:semiHidden/>
    <w:rsid w:val="001B68EA"/>
    <w:rPr>
      <w:vertAlign w:val="superscript"/>
    </w:rPr>
  </w:style>
  <w:style w:type="character" w:styleId="Hyperlink">
    <w:name w:val="Hyperlink"/>
    <w:rsid w:val="001B68EA"/>
    <w:rPr>
      <w:color w:val="0000FF"/>
      <w:u w:val="single"/>
    </w:rPr>
  </w:style>
  <w:style w:type="paragraph" w:customStyle="1" w:styleId="Normal15">
    <w:name w:val="Normal15"/>
    <w:basedOn w:val="Normal"/>
    <w:rsid w:val="00BD0DC4"/>
    <w:pPr>
      <w:spacing w:line="360" w:lineRule="auto"/>
      <w:jc w:val="both"/>
    </w:pPr>
    <w:rPr>
      <w:rFonts w:ascii="Tahoma" w:hAnsi="Tahoma" w:cs="Arial"/>
      <w:snapToGrid w:val="0"/>
      <w:szCs w:val="20"/>
      <w:lang w:eastAsia="pt-BR"/>
    </w:rPr>
  </w:style>
  <w:style w:type="paragraph" w:styleId="Recuodecorpodetexto">
    <w:name w:val="Body Text Indent"/>
    <w:basedOn w:val="Normal"/>
    <w:link w:val="RecuodecorpodetextoChar"/>
    <w:rsid w:val="002401A9"/>
    <w:pPr>
      <w:ind w:firstLine="720"/>
      <w:jc w:val="both"/>
    </w:pPr>
    <w:rPr>
      <w:rFonts w:ascii="Arial" w:hAnsi="Arial"/>
      <w:lang w:eastAsia="pt-BR"/>
    </w:rPr>
  </w:style>
  <w:style w:type="character" w:customStyle="1" w:styleId="RecuodecorpodetextoChar">
    <w:name w:val="Recuo de corpo de texto Char"/>
    <w:link w:val="Recuodecorpodetexto"/>
    <w:rsid w:val="002401A9"/>
    <w:rPr>
      <w:rFonts w:ascii="Arial" w:hAnsi="Arial"/>
      <w:sz w:val="24"/>
      <w:szCs w:val="24"/>
    </w:rPr>
  </w:style>
  <w:style w:type="paragraph" w:styleId="Recuodecorpodetexto2">
    <w:name w:val="Body Text Indent 2"/>
    <w:basedOn w:val="Normal"/>
    <w:link w:val="Recuodecorpodetexto2Char"/>
    <w:rsid w:val="002401A9"/>
    <w:pPr>
      <w:spacing w:after="120"/>
      <w:ind w:firstLine="709"/>
      <w:jc w:val="both"/>
    </w:pPr>
    <w:rPr>
      <w:rFonts w:ascii="Arial" w:hAnsi="Arial" w:cs="Arial"/>
      <w:lang w:eastAsia="pt-BR"/>
    </w:rPr>
  </w:style>
  <w:style w:type="character" w:customStyle="1" w:styleId="Recuodecorpodetexto2Char">
    <w:name w:val="Recuo de corpo de texto 2 Char"/>
    <w:link w:val="Recuodecorpodetexto2"/>
    <w:rsid w:val="002401A9"/>
    <w:rPr>
      <w:rFonts w:ascii="Arial" w:hAnsi="Arial" w:cs="Arial"/>
      <w:sz w:val="24"/>
      <w:szCs w:val="24"/>
    </w:rPr>
  </w:style>
  <w:style w:type="paragraph" w:styleId="Textodenotadefim">
    <w:name w:val="endnote text"/>
    <w:basedOn w:val="Normal"/>
    <w:link w:val="TextodenotadefimChar"/>
    <w:rsid w:val="009E4EA9"/>
    <w:rPr>
      <w:sz w:val="20"/>
      <w:szCs w:val="20"/>
    </w:rPr>
  </w:style>
  <w:style w:type="character" w:customStyle="1" w:styleId="TextodenotadefimChar">
    <w:name w:val="Texto de nota de fim Char"/>
    <w:link w:val="Textodenotadefim"/>
    <w:rsid w:val="009E4EA9"/>
    <w:rPr>
      <w:lang w:eastAsia="en-US"/>
    </w:rPr>
  </w:style>
  <w:style w:type="character" w:styleId="Refdenotadefim">
    <w:name w:val="endnote reference"/>
    <w:rsid w:val="009E4EA9"/>
    <w:rPr>
      <w:vertAlign w:val="superscript"/>
    </w:rPr>
  </w:style>
  <w:style w:type="paragraph" w:styleId="Corpodetexto">
    <w:name w:val="Body Text"/>
    <w:basedOn w:val="Normal"/>
    <w:link w:val="CorpodetextoChar"/>
    <w:rsid w:val="008F7F54"/>
    <w:pPr>
      <w:spacing w:after="120"/>
    </w:pPr>
  </w:style>
  <w:style w:type="character" w:customStyle="1" w:styleId="CorpodetextoChar">
    <w:name w:val="Corpo de texto Char"/>
    <w:link w:val="Corpodetexto"/>
    <w:rsid w:val="008F7F54"/>
    <w:rPr>
      <w:sz w:val="24"/>
      <w:szCs w:val="24"/>
      <w:lang w:eastAsia="en-US"/>
    </w:rPr>
  </w:style>
  <w:style w:type="paragraph" w:styleId="Cabealho">
    <w:name w:val="header"/>
    <w:basedOn w:val="Normal"/>
    <w:link w:val="CabealhoChar"/>
    <w:uiPriority w:val="99"/>
    <w:rsid w:val="00F84183"/>
    <w:pPr>
      <w:tabs>
        <w:tab w:val="center" w:pos="4252"/>
        <w:tab w:val="right" w:pos="8504"/>
      </w:tabs>
    </w:pPr>
  </w:style>
  <w:style w:type="character" w:customStyle="1" w:styleId="CabealhoChar">
    <w:name w:val="Cabeçalho Char"/>
    <w:link w:val="Cabealho"/>
    <w:uiPriority w:val="99"/>
    <w:rsid w:val="00F84183"/>
    <w:rPr>
      <w:sz w:val="24"/>
      <w:szCs w:val="24"/>
      <w:lang w:eastAsia="en-US"/>
    </w:rPr>
  </w:style>
  <w:style w:type="paragraph" w:styleId="Rodap">
    <w:name w:val="footer"/>
    <w:basedOn w:val="Normal"/>
    <w:link w:val="RodapChar"/>
    <w:uiPriority w:val="99"/>
    <w:rsid w:val="00F84183"/>
    <w:pPr>
      <w:tabs>
        <w:tab w:val="center" w:pos="4252"/>
        <w:tab w:val="right" w:pos="8504"/>
      </w:tabs>
    </w:pPr>
  </w:style>
  <w:style w:type="character" w:customStyle="1" w:styleId="RodapChar">
    <w:name w:val="Rodapé Char"/>
    <w:link w:val="Rodap"/>
    <w:uiPriority w:val="99"/>
    <w:rsid w:val="00F84183"/>
    <w:rPr>
      <w:sz w:val="24"/>
      <w:szCs w:val="24"/>
      <w:lang w:eastAsia="en-US"/>
    </w:rPr>
  </w:style>
  <w:style w:type="paragraph" w:styleId="Textodebalo">
    <w:name w:val="Balloon Text"/>
    <w:basedOn w:val="Normal"/>
    <w:link w:val="TextodebaloChar"/>
    <w:rsid w:val="00F84183"/>
    <w:rPr>
      <w:rFonts w:ascii="Tahoma" w:hAnsi="Tahoma" w:cs="Tahoma"/>
      <w:sz w:val="16"/>
      <w:szCs w:val="16"/>
    </w:rPr>
  </w:style>
  <w:style w:type="character" w:customStyle="1" w:styleId="TextodebaloChar">
    <w:name w:val="Texto de balão Char"/>
    <w:link w:val="Textodebalo"/>
    <w:rsid w:val="00F84183"/>
    <w:rPr>
      <w:rFonts w:ascii="Tahoma" w:hAnsi="Tahoma" w:cs="Tahoma"/>
      <w:sz w:val="16"/>
      <w:szCs w:val="16"/>
      <w:lang w:eastAsia="en-US"/>
    </w:rPr>
  </w:style>
  <w:style w:type="character" w:styleId="Nmerodepgina">
    <w:name w:val="page number"/>
    <w:basedOn w:val="Fontepargpadro"/>
    <w:semiHidden/>
    <w:unhideWhenUsed/>
    <w:rsid w:val="00165B18"/>
  </w:style>
  <w:style w:type="paragraph" w:styleId="PargrafodaLista">
    <w:name w:val="List Paragraph"/>
    <w:basedOn w:val="Normal"/>
    <w:uiPriority w:val="34"/>
    <w:qFormat/>
    <w:rsid w:val="00E51CB3"/>
    <w:pPr>
      <w:ind w:left="720"/>
      <w:contextualSpacing/>
    </w:pPr>
  </w:style>
  <w:style w:type="character" w:styleId="Forte">
    <w:name w:val="Strong"/>
    <w:basedOn w:val="Fontepargpadro"/>
    <w:qFormat/>
    <w:rsid w:val="000E648F"/>
    <w:rPr>
      <w:b/>
      <w:bCs/>
    </w:rPr>
  </w:style>
  <w:style w:type="character" w:styleId="TtulodoLivro">
    <w:name w:val="Book Title"/>
    <w:basedOn w:val="Fontepargpadro"/>
    <w:uiPriority w:val="33"/>
    <w:qFormat/>
    <w:rsid w:val="000E648F"/>
    <w:rPr>
      <w:b/>
      <w:bCs/>
      <w:smallCaps/>
      <w:spacing w:val="5"/>
    </w:rPr>
  </w:style>
  <w:style w:type="paragraph" w:styleId="Legenda">
    <w:name w:val="caption"/>
    <w:basedOn w:val="Normal"/>
    <w:next w:val="Normal"/>
    <w:uiPriority w:val="35"/>
    <w:unhideWhenUsed/>
    <w:qFormat/>
    <w:rsid w:val="00240E4C"/>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B68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semiHidden/>
    <w:rsid w:val="001B68EA"/>
  </w:style>
  <w:style w:type="character" w:styleId="Refdenotaderodap">
    <w:name w:val="footnote reference"/>
    <w:semiHidden/>
    <w:rsid w:val="001B68EA"/>
    <w:rPr>
      <w:vertAlign w:val="superscript"/>
    </w:rPr>
  </w:style>
  <w:style w:type="character" w:styleId="Hyperlink">
    <w:name w:val="Hyperlink"/>
    <w:rsid w:val="001B68EA"/>
    <w:rPr>
      <w:color w:val="0000FF"/>
      <w:u w:val="single"/>
    </w:rPr>
  </w:style>
  <w:style w:type="paragraph" w:customStyle="1" w:styleId="Normal15">
    <w:name w:val="Normal15"/>
    <w:basedOn w:val="Normal"/>
    <w:rsid w:val="00BD0DC4"/>
    <w:pPr>
      <w:spacing w:line="360" w:lineRule="auto"/>
      <w:jc w:val="both"/>
    </w:pPr>
    <w:rPr>
      <w:rFonts w:ascii="Tahoma" w:hAnsi="Tahoma" w:cs="Arial"/>
      <w:snapToGrid w:val="0"/>
      <w:szCs w:val="20"/>
      <w:lang w:eastAsia="pt-BR"/>
    </w:rPr>
  </w:style>
  <w:style w:type="paragraph" w:styleId="Recuodecorpodetexto">
    <w:name w:val="Body Text Indent"/>
    <w:basedOn w:val="Normal"/>
    <w:link w:val="RecuodecorpodetextoChar"/>
    <w:rsid w:val="002401A9"/>
    <w:pPr>
      <w:ind w:firstLine="720"/>
      <w:jc w:val="both"/>
    </w:pPr>
    <w:rPr>
      <w:rFonts w:ascii="Arial" w:hAnsi="Arial"/>
      <w:lang w:eastAsia="pt-BR"/>
    </w:rPr>
  </w:style>
  <w:style w:type="character" w:customStyle="1" w:styleId="RecuodecorpodetextoChar">
    <w:name w:val="Recuo de corpo de texto Char"/>
    <w:link w:val="Recuodecorpodetexto"/>
    <w:rsid w:val="002401A9"/>
    <w:rPr>
      <w:rFonts w:ascii="Arial" w:hAnsi="Arial"/>
      <w:sz w:val="24"/>
      <w:szCs w:val="24"/>
    </w:rPr>
  </w:style>
  <w:style w:type="paragraph" w:styleId="Recuodecorpodetexto2">
    <w:name w:val="Body Text Indent 2"/>
    <w:basedOn w:val="Normal"/>
    <w:link w:val="Recuodecorpodetexto2Char"/>
    <w:rsid w:val="002401A9"/>
    <w:pPr>
      <w:spacing w:after="120"/>
      <w:ind w:firstLine="709"/>
      <w:jc w:val="both"/>
    </w:pPr>
    <w:rPr>
      <w:rFonts w:ascii="Arial" w:hAnsi="Arial" w:cs="Arial"/>
      <w:lang w:eastAsia="pt-BR"/>
    </w:rPr>
  </w:style>
  <w:style w:type="character" w:customStyle="1" w:styleId="Recuodecorpodetexto2Char">
    <w:name w:val="Recuo de corpo de texto 2 Char"/>
    <w:link w:val="Recuodecorpodetexto2"/>
    <w:rsid w:val="002401A9"/>
    <w:rPr>
      <w:rFonts w:ascii="Arial" w:hAnsi="Arial" w:cs="Arial"/>
      <w:sz w:val="24"/>
      <w:szCs w:val="24"/>
    </w:rPr>
  </w:style>
  <w:style w:type="paragraph" w:styleId="Textodenotadefim">
    <w:name w:val="endnote text"/>
    <w:basedOn w:val="Normal"/>
    <w:link w:val="TextodenotadefimChar"/>
    <w:rsid w:val="009E4EA9"/>
    <w:rPr>
      <w:sz w:val="20"/>
      <w:szCs w:val="20"/>
    </w:rPr>
  </w:style>
  <w:style w:type="character" w:customStyle="1" w:styleId="TextodenotadefimChar">
    <w:name w:val="Texto de nota de fim Char"/>
    <w:link w:val="Textodenotadefim"/>
    <w:rsid w:val="009E4EA9"/>
    <w:rPr>
      <w:lang w:eastAsia="en-US"/>
    </w:rPr>
  </w:style>
  <w:style w:type="character" w:styleId="Refdenotadefim">
    <w:name w:val="endnote reference"/>
    <w:rsid w:val="009E4EA9"/>
    <w:rPr>
      <w:vertAlign w:val="superscript"/>
    </w:rPr>
  </w:style>
  <w:style w:type="paragraph" w:styleId="Corpodetexto">
    <w:name w:val="Body Text"/>
    <w:basedOn w:val="Normal"/>
    <w:link w:val="CorpodetextoChar"/>
    <w:rsid w:val="008F7F54"/>
    <w:pPr>
      <w:spacing w:after="120"/>
    </w:pPr>
  </w:style>
  <w:style w:type="character" w:customStyle="1" w:styleId="CorpodetextoChar">
    <w:name w:val="Corpo de texto Char"/>
    <w:link w:val="Corpodetexto"/>
    <w:rsid w:val="008F7F54"/>
    <w:rPr>
      <w:sz w:val="24"/>
      <w:szCs w:val="24"/>
      <w:lang w:eastAsia="en-US"/>
    </w:rPr>
  </w:style>
  <w:style w:type="paragraph" w:styleId="Cabealho">
    <w:name w:val="header"/>
    <w:basedOn w:val="Normal"/>
    <w:link w:val="CabealhoChar"/>
    <w:uiPriority w:val="99"/>
    <w:rsid w:val="00F84183"/>
    <w:pPr>
      <w:tabs>
        <w:tab w:val="center" w:pos="4252"/>
        <w:tab w:val="right" w:pos="8504"/>
      </w:tabs>
    </w:pPr>
  </w:style>
  <w:style w:type="character" w:customStyle="1" w:styleId="CabealhoChar">
    <w:name w:val="Cabeçalho Char"/>
    <w:link w:val="Cabealho"/>
    <w:uiPriority w:val="99"/>
    <w:rsid w:val="00F84183"/>
    <w:rPr>
      <w:sz w:val="24"/>
      <w:szCs w:val="24"/>
      <w:lang w:eastAsia="en-US"/>
    </w:rPr>
  </w:style>
  <w:style w:type="paragraph" w:styleId="Rodap">
    <w:name w:val="footer"/>
    <w:basedOn w:val="Normal"/>
    <w:link w:val="RodapChar"/>
    <w:uiPriority w:val="99"/>
    <w:rsid w:val="00F84183"/>
    <w:pPr>
      <w:tabs>
        <w:tab w:val="center" w:pos="4252"/>
        <w:tab w:val="right" w:pos="8504"/>
      </w:tabs>
    </w:pPr>
  </w:style>
  <w:style w:type="character" w:customStyle="1" w:styleId="RodapChar">
    <w:name w:val="Rodapé Char"/>
    <w:link w:val="Rodap"/>
    <w:uiPriority w:val="99"/>
    <w:rsid w:val="00F84183"/>
    <w:rPr>
      <w:sz w:val="24"/>
      <w:szCs w:val="24"/>
      <w:lang w:eastAsia="en-US"/>
    </w:rPr>
  </w:style>
  <w:style w:type="paragraph" w:styleId="Textodebalo">
    <w:name w:val="Balloon Text"/>
    <w:basedOn w:val="Normal"/>
    <w:link w:val="TextodebaloChar"/>
    <w:rsid w:val="00F84183"/>
    <w:rPr>
      <w:rFonts w:ascii="Tahoma" w:hAnsi="Tahoma" w:cs="Tahoma"/>
      <w:sz w:val="16"/>
      <w:szCs w:val="16"/>
    </w:rPr>
  </w:style>
  <w:style w:type="character" w:customStyle="1" w:styleId="TextodebaloChar">
    <w:name w:val="Texto de balão Char"/>
    <w:link w:val="Textodebalo"/>
    <w:rsid w:val="00F84183"/>
    <w:rPr>
      <w:rFonts w:ascii="Tahoma" w:hAnsi="Tahoma" w:cs="Tahoma"/>
      <w:sz w:val="16"/>
      <w:szCs w:val="16"/>
      <w:lang w:eastAsia="en-US"/>
    </w:rPr>
  </w:style>
  <w:style w:type="character" w:styleId="Nmerodepgina">
    <w:name w:val="page number"/>
    <w:basedOn w:val="Fontepargpadro"/>
    <w:semiHidden/>
    <w:unhideWhenUsed/>
    <w:rsid w:val="00165B18"/>
  </w:style>
  <w:style w:type="paragraph" w:styleId="PargrafodaLista">
    <w:name w:val="List Paragraph"/>
    <w:basedOn w:val="Normal"/>
    <w:uiPriority w:val="34"/>
    <w:qFormat/>
    <w:rsid w:val="00E51CB3"/>
    <w:pPr>
      <w:ind w:left="720"/>
      <w:contextualSpacing/>
    </w:pPr>
  </w:style>
  <w:style w:type="character" w:styleId="Forte">
    <w:name w:val="Strong"/>
    <w:basedOn w:val="Fontepargpadro"/>
    <w:qFormat/>
    <w:rsid w:val="000E648F"/>
    <w:rPr>
      <w:b/>
      <w:bCs/>
    </w:rPr>
  </w:style>
  <w:style w:type="character" w:styleId="TtulodoLivro">
    <w:name w:val="Book Title"/>
    <w:basedOn w:val="Fontepargpadro"/>
    <w:uiPriority w:val="33"/>
    <w:qFormat/>
    <w:rsid w:val="000E648F"/>
    <w:rPr>
      <w:b/>
      <w:bCs/>
      <w:smallCaps/>
      <w:spacing w:val="5"/>
    </w:rPr>
  </w:style>
  <w:style w:type="paragraph" w:styleId="Legenda">
    <w:name w:val="caption"/>
    <w:basedOn w:val="Normal"/>
    <w:next w:val="Normal"/>
    <w:uiPriority w:val="35"/>
    <w:unhideWhenUsed/>
    <w:qFormat/>
    <w:rsid w:val="00240E4C"/>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3452">
      <w:bodyDiv w:val="1"/>
      <w:marLeft w:val="0"/>
      <w:marRight w:val="0"/>
      <w:marTop w:val="0"/>
      <w:marBottom w:val="0"/>
      <w:divBdr>
        <w:top w:val="none" w:sz="0" w:space="0" w:color="auto"/>
        <w:left w:val="none" w:sz="0" w:space="0" w:color="auto"/>
        <w:bottom w:val="none" w:sz="0" w:space="0" w:color="auto"/>
        <w:right w:val="none" w:sz="0" w:space="0" w:color="auto"/>
      </w:divBdr>
    </w:div>
    <w:div w:id="42605500">
      <w:bodyDiv w:val="1"/>
      <w:marLeft w:val="0"/>
      <w:marRight w:val="0"/>
      <w:marTop w:val="0"/>
      <w:marBottom w:val="0"/>
      <w:divBdr>
        <w:top w:val="none" w:sz="0" w:space="0" w:color="auto"/>
        <w:left w:val="none" w:sz="0" w:space="0" w:color="auto"/>
        <w:bottom w:val="none" w:sz="0" w:space="0" w:color="auto"/>
        <w:right w:val="none" w:sz="0" w:space="0" w:color="auto"/>
      </w:divBdr>
    </w:div>
    <w:div w:id="81100416">
      <w:bodyDiv w:val="1"/>
      <w:marLeft w:val="0"/>
      <w:marRight w:val="0"/>
      <w:marTop w:val="0"/>
      <w:marBottom w:val="0"/>
      <w:divBdr>
        <w:top w:val="none" w:sz="0" w:space="0" w:color="auto"/>
        <w:left w:val="none" w:sz="0" w:space="0" w:color="auto"/>
        <w:bottom w:val="none" w:sz="0" w:space="0" w:color="auto"/>
        <w:right w:val="none" w:sz="0" w:space="0" w:color="auto"/>
      </w:divBdr>
    </w:div>
    <w:div w:id="87311779">
      <w:bodyDiv w:val="1"/>
      <w:marLeft w:val="0"/>
      <w:marRight w:val="0"/>
      <w:marTop w:val="0"/>
      <w:marBottom w:val="0"/>
      <w:divBdr>
        <w:top w:val="none" w:sz="0" w:space="0" w:color="auto"/>
        <w:left w:val="none" w:sz="0" w:space="0" w:color="auto"/>
        <w:bottom w:val="none" w:sz="0" w:space="0" w:color="auto"/>
        <w:right w:val="none" w:sz="0" w:space="0" w:color="auto"/>
      </w:divBdr>
    </w:div>
    <w:div w:id="161773326">
      <w:bodyDiv w:val="1"/>
      <w:marLeft w:val="0"/>
      <w:marRight w:val="0"/>
      <w:marTop w:val="0"/>
      <w:marBottom w:val="0"/>
      <w:divBdr>
        <w:top w:val="none" w:sz="0" w:space="0" w:color="auto"/>
        <w:left w:val="none" w:sz="0" w:space="0" w:color="auto"/>
        <w:bottom w:val="none" w:sz="0" w:space="0" w:color="auto"/>
        <w:right w:val="none" w:sz="0" w:space="0" w:color="auto"/>
      </w:divBdr>
    </w:div>
    <w:div w:id="180700836">
      <w:bodyDiv w:val="1"/>
      <w:marLeft w:val="0"/>
      <w:marRight w:val="0"/>
      <w:marTop w:val="0"/>
      <w:marBottom w:val="0"/>
      <w:divBdr>
        <w:top w:val="none" w:sz="0" w:space="0" w:color="auto"/>
        <w:left w:val="none" w:sz="0" w:space="0" w:color="auto"/>
        <w:bottom w:val="none" w:sz="0" w:space="0" w:color="auto"/>
        <w:right w:val="none" w:sz="0" w:space="0" w:color="auto"/>
      </w:divBdr>
    </w:div>
    <w:div w:id="202523919">
      <w:bodyDiv w:val="1"/>
      <w:marLeft w:val="0"/>
      <w:marRight w:val="0"/>
      <w:marTop w:val="0"/>
      <w:marBottom w:val="0"/>
      <w:divBdr>
        <w:top w:val="none" w:sz="0" w:space="0" w:color="auto"/>
        <w:left w:val="none" w:sz="0" w:space="0" w:color="auto"/>
        <w:bottom w:val="none" w:sz="0" w:space="0" w:color="auto"/>
        <w:right w:val="none" w:sz="0" w:space="0" w:color="auto"/>
      </w:divBdr>
    </w:div>
    <w:div w:id="217203461">
      <w:bodyDiv w:val="1"/>
      <w:marLeft w:val="0"/>
      <w:marRight w:val="0"/>
      <w:marTop w:val="0"/>
      <w:marBottom w:val="0"/>
      <w:divBdr>
        <w:top w:val="none" w:sz="0" w:space="0" w:color="auto"/>
        <w:left w:val="none" w:sz="0" w:space="0" w:color="auto"/>
        <w:bottom w:val="none" w:sz="0" w:space="0" w:color="auto"/>
        <w:right w:val="none" w:sz="0" w:space="0" w:color="auto"/>
      </w:divBdr>
    </w:div>
    <w:div w:id="227111945">
      <w:bodyDiv w:val="1"/>
      <w:marLeft w:val="0"/>
      <w:marRight w:val="0"/>
      <w:marTop w:val="0"/>
      <w:marBottom w:val="0"/>
      <w:divBdr>
        <w:top w:val="none" w:sz="0" w:space="0" w:color="auto"/>
        <w:left w:val="none" w:sz="0" w:space="0" w:color="auto"/>
        <w:bottom w:val="none" w:sz="0" w:space="0" w:color="auto"/>
        <w:right w:val="none" w:sz="0" w:space="0" w:color="auto"/>
      </w:divBdr>
    </w:div>
    <w:div w:id="235868059">
      <w:bodyDiv w:val="1"/>
      <w:marLeft w:val="0"/>
      <w:marRight w:val="0"/>
      <w:marTop w:val="0"/>
      <w:marBottom w:val="0"/>
      <w:divBdr>
        <w:top w:val="none" w:sz="0" w:space="0" w:color="auto"/>
        <w:left w:val="none" w:sz="0" w:space="0" w:color="auto"/>
        <w:bottom w:val="none" w:sz="0" w:space="0" w:color="auto"/>
        <w:right w:val="none" w:sz="0" w:space="0" w:color="auto"/>
      </w:divBdr>
    </w:div>
    <w:div w:id="249628104">
      <w:bodyDiv w:val="1"/>
      <w:marLeft w:val="0"/>
      <w:marRight w:val="0"/>
      <w:marTop w:val="0"/>
      <w:marBottom w:val="0"/>
      <w:divBdr>
        <w:top w:val="none" w:sz="0" w:space="0" w:color="auto"/>
        <w:left w:val="none" w:sz="0" w:space="0" w:color="auto"/>
        <w:bottom w:val="none" w:sz="0" w:space="0" w:color="auto"/>
        <w:right w:val="none" w:sz="0" w:space="0" w:color="auto"/>
      </w:divBdr>
    </w:div>
    <w:div w:id="263421211">
      <w:bodyDiv w:val="1"/>
      <w:marLeft w:val="0"/>
      <w:marRight w:val="0"/>
      <w:marTop w:val="0"/>
      <w:marBottom w:val="0"/>
      <w:divBdr>
        <w:top w:val="none" w:sz="0" w:space="0" w:color="auto"/>
        <w:left w:val="none" w:sz="0" w:space="0" w:color="auto"/>
        <w:bottom w:val="none" w:sz="0" w:space="0" w:color="auto"/>
        <w:right w:val="none" w:sz="0" w:space="0" w:color="auto"/>
      </w:divBdr>
    </w:div>
    <w:div w:id="268313627">
      <w:bodyDiv w:val="1"/>
      <w:marLeft w:val="0"/>
      <w:marRight w:val="0"/>
      <w:marTop w:val="0"/>
      <w:marBottom w:val="0"/>
      <w:divBdr>
        <w:top w:val="none" w:sz="0" w:space="0" w:color="auto"/>
        <w:left w:val="none" w:sz="0" w:space="0" w:color="auto"/>
        <w:bottom w:val="none" w:sz="0" w:space="0" w:color="auto"/>
        <w:right w:val="none" w:sz="0" w:space="0" w:color="auto"/>
      </w:divBdr>
    </w:div>
    <w:div w:id="287470088">
      <w:bodyDiv w:val="1"/>
      <w:marLeft w:val="0"/>
      <w:marRight w:val="0"/>
      <w:marTop w:val="0"/>
      <w:marBottom w:val="0"/>
      <w:divBdr>
        <w:top w:val="none" w:sz="0" w:space="0" w:color="auto"/>
        <w:left w:val="none" w:sz="0" w:space="0" w:color="auto"/>
        <w:bottom w:val="none" w:sz="0" w:space="0" w:color="auto"/>
        <w:right w:val="none" w:sz="0" w:space="0" w:color="auto"/>
      </w:divBdr>
    </w:div>
    <w:div w:id="294722033">
      <w:bodyDiv w:val="1"/>
      <w:marLeft w:val="0"/>
      <w:marRight w:val="0"/>
      <w:marTop w:val="0"/>
      <w:marBottom w:val="0"/>
      <w:divBdr>
        <w:top w:val="none" w:sz="0" w:space="0" w:color="auto"/>
        <w:left w:val="none" w:sz="0" w:space="0" w:color="auto"/>
        <w:bottom w:val="none" w:sz="0" w:space="0" w:color="auto"/>
        <w:right w:val="none" w:sz="0" w:space="0" w:color="auto"/>
      </w:divBdr>
    </w:div>
    <w:div w:id="296840852">
      <w:bodyDiv w:val="1"/>
      <w:marLeft w:val="0"/>
      <w:marRight w:val="0"/>
      <w:marTop w:val="0"/>
      <w:marBottom w:val="0"/>
      <w:divBdr>
        <w:top w:val="none" w:sz="0" w:space="0" w:color="auto"/>
        <w:left w:val="none" w:sz="0" w:space="0" w:color="auto"/>
        <w:bottom w:val="none" w:sz="0" w:space="0" w:color="auto"/>
        <w:right w:val="none" w:sz="0" w:space="0" w:color="auto"/>
      </w:divBdr>
    </w:div>
    <w:div w:id="308290844">
      <w:bodyDiv w:val="1"/>
      <w:marLeft w:val="0"/>
      <w:marRight w:val="0"/>
      <w:marTop w:val="0"/>
      <w:marBottom w:val="0"/>
      <w:divBdr>
        <w:top w:val="none" w:sz="0" w:space="0" w:color="auto"/>
        <w:left w:val="none" w:sz="0" w:space="0" w:color="auto"/>
        <w:bottom w:val="none" w:sz="0" w:space="0" w:color="auto"/>
        <w:right w:val="none" w:sz="0" w:space="0" w:color="auto"/>
      </w:divBdr>
    </w:div>
    <w:div w:id="347752618">
      <w:bodyDiv w:val="1"/>
      <w:marLeft w:val="0"/>
      <w:marRight w:val="0"/>
      <w:marTop w:val="0"/>
      <w:marBottom w:val="0"/>
      <w:divBdr>
        <w:top w:val="none" w:sz="0" w:space="0" w:color="auto"/>
        <w:left w:val="none" w:sz="0" w:space="0" w:color="auto"/>
        <w:bottom w:val="none" w:sz="0" w:space="0" w:color="auto"/>
        <w:right w:val="none" w:sz="0" w:space="0" w:color="auto"/>
      </w:divBdr>
    </w:div>
    <w:div w:id="359285873">
      <w:bodyDiv w:val="1"/>
      <w:marLeft w:val="0"/>
      <w:marRight w:val="0"/>
      <w:marTop w:val="0"/>
      <w:marBottom w:val="0"/>
      <w:divBdr>
        <w:top w:val="none" w:sz="0" w:space="0" w:color="auto"/>
        <w:left w:val="none" w:sz="0" w:space="0" w:color="auto"/>
        <w:bottom w:val="none" w:sz="0" w:space="0" w:color="auto"/>
        <w:right w:val="none" w:sz="0" w:space="0" w:color="auto"/>
      </w:divBdr>
    </w:div>
    <w:div w:id="391081934">
      <w:bodyDiv w:val="1"/>
      <w:marLeft w:val="0"/>
      <w:marRight w:val="0"/>
      <w:marTop w:val="0"/>
      <w:marBottom w:val="0"/>
      <w:divBdr>
        <w:top w:val="none" w:sz="0" w:space="0" w:color="auto"/>
        <w:left w:val="none" w:sz="0" w:space="0" w:color="auto"/>
        <w:bottom w:val="none" w:sz="0" w:space="0" w:color="auto"/>
        <w:right w:val="none" w:sz="0" w:space="0" w:color="auto"/>
      </w:divBdr>
    </w:div>
    <w:div w:id="493373521">
      <w:bodyDiv w:val="1"/>
      <w:marLeft w:val="0"/>
      <w:marRight w:val="0"/>
      <w:marTop w:val="0"/>
      <w:marBottom w:val="0"/>
      <w:divBdr>
        <w:top w:val="none" w:sz="0" w:space="0" w:color="auto"/>
        <w:left w:val="none" w:sz="0" w:space="0" w:color="auto"/>
        <w:bottom w:val="none" w:sz="0" w:space="0" w:color="auto"/>
        <w:right w:val="none" w:sz="0" w:space="0" w:color="auto"/>
      </w:divBdr>
    </w:div>
    <w:div w:id="516189816">
      <w:bodyDiv w:val="1"/>
      <w:marLeft w:val="0"/>
      <w:marRight w:val="0"/>
      <w:marTop w:val="0"/>
      <w:marBottom w:val="0"/>
      <w:divBdr>
        <w:top w:val="none" w:sz="0" w:space="0" w:color="auto"/>
        <w:left w:val="none" w:sz="0" w:space="0" w:color="auto"/>
        <w:bottom w:val="none" w:sz="0" w:space="0" w:color="auto"/>
        <w:right w:val="none" w:sz="0" w:space="0" w:color="auto"/>
      </w:divBdr>
    </w:div>
    <w:div w:id="543979571">
      <w:bodyDiv w:val="1"/>
      <w:marLeft w:val="0"/>
      <w:marRight w:val="0"/>
      <w:marTop w:val="0"/>
      <w:marBottom w:val="0"/>
      <w:divBdr>
        <w:top w:val="none" w:sz="0" w:space="0" w:color="auto"/>
        <w:left w:val="none" w:sz="0" w:space="0" w:color="auto"/>
        <w:bottom w:val="none" w:sz="0" w:space="0" w:color="auto"/>
        <w:right w:val="none" w:sz="0" w:space="0" w:color="auto"/>
      </w:divBdr>
    </w:div>
    <w:div w:id="573008485">
      <w:bodyDiv w:val="1"/>
      <w:marLeft w:val="0"/>
      <w:marRight w:val="0"/>
      <w:marTop w:val="0"/>
      <w:marBottom w:val="0"/>
      <w:divBdr>
        <w:top w:val="none" w:sz="0" w:space="0" w:color="auto"/>
        <w:left w:val="none" w:sz="0" w:space="0" w:color="auto"/>
        <w:bottom w:val="none" w:sz="0" w:space="0" w:color="auto"/>
        <w:right w:val="none" w:sz="0" w:space="0" w:color="auto"/>
      </w:divBdr>
    </w:div>
    <w:div w:id="611018436">
      <w:bodyDiv w:val="1"/>
      <w:marLeft w:val="0"/>
      <w:marRight w:val="0"/>
      <w:marTop w:val="0"/>
      <w:marBottom w:val="0"/>
      <w:divBdr>
        <w:top w:val="none" w:sz="0" w:space="0" w:color="auto"/>
        <w:left w:val="none" w:sz="0" w:space="0" w:color="auto"/>
        <w:bottom w:val="none" w:sz="0" w:space="0" w:color="auto"/>
        <w:right w:val="none" w:sz="0" w:space="0" w:color="auto"/>
      </w:divBdr>
    </w:div>
    <w:div w:id="638189650">
      <w:bodyDiv w:val="1"/>
      <w:marLeft w:val="0"/>
      <w:marRight w:val="0"/>
      <w:marTop w:val="0"/>
      <w:marBottom w:val="0"/>
      <w:divBdr>
        <w:top w:val="none" w:sz="0" w:space="0" w:color="auto"/>
        <w:left w:val="none" w:sz="0" w:space="0" w:color="auto"/>
        <w:bottom w:val="none" w:sz="0" w:space="0" w:color="auto"/>
        <w:right w:val="none" w:sz="0" w:space="0" w:color="auto"/>
      </w:divBdr>
    </w:div>
    <w:div w:id="655644805">
      <w:bodyDiv w:val="1"/>
      <w:marLeft w:val="0"/>
      <w:marRight w:val="0"/>
      <w:marTop w:val="0"/>
      <w:marBottom w:val="0"/>
      <w:divBdr>
        <w:top w:val="none" w:sz="0" w:space="0" w:color="auto"/>
        <w:left w:val="none" w:sz="0" w:space="0" w:color="auto"/>
        <w:bottom w:val="none" w:sz="0" w:space="0" w:color="auto"/>
        <w:right w:val="none" w:sz="0" w:space="0" w:color="auto"/>
      </w:divBdr>
    </w:div>
    <w:div w:id="675304850">
      <w:bodyDiv w:val="1"/>
      <w:marLeft w:val="0"/>
      <w:marRight w:val="0"/>
      <w:marTop w:val="0"/>
      <w:marBottom w:val="0"/>
      <w:divBdr>
        <w:top w:val="none" w:sz="0" w:space="0" w:color="auto"/>
        <w:left w:val="none" w:sz="0" w:space="0" w:color="auto"/>
        <w:bottom w:val="none" w:sz="0" w:space="0" w:color="auto"/>
        <w:right w:val="none" w:sz="0" w:space="0" w:color="auto"/>
      </w:divBdr>
    </w:div>
    <w:div w:id="712273882">
      <w:bodyDiv w:val="1"/>
      <w:marLeft w:val="0"/>
      <w:marRight w:val="0"/>
      <w:marTop w:val="0"/>
      <w:marBottom w:val="0"/>
      <w:divBdr>
        <w:top w:val="none" w:sz="0" w:space="0" w:color="auto"/>
        <w:left w:val="none" w:sz="0" w:space="0" w:color="auto"/>
        <w:bottom w:val="none" w:sz="0" w:space="0" w:color="auto"/>
        <w:right w:val="none" w:sz="0" w:space="0" w:color="auto"/>
      </w:divBdr>
    </w:div>
    <w:div w:id="740567606">
      <w:bodyDiv w:val="1"/>
      <w:marLeft w:val="0"/>
      <w:marRight w:val="0"/>
      <w:marTop w:val="0"/>
      <w:marBottom w:val="0"/>
      <w:divBdr>
        <w:top w:val="none" w:sz="0" w:space="0" w:color="auto"/>
        <w:left w:val="none" w:sz="0" w:space="0" w:color="auto"/>
        <w:bottom w:val="none" w:sz="0" w:space="0" w:color="auto"/>
        <w:right w:val="none" w:sz="0" w:space="0" w:color="auto"/>
      </w:divBdr>
    </w:div>
    <w:div w:id="742213898">
      <w:bodyDiv w:val="1"/>
      <w:marLeft w:val="0"/>
      <w:marRight w:val="0"/>
      <w:marTop w:val="0"/>
      <w:marBottom w:val="0"/>
      <w:divBdr>
        <w:top w:val="none" w:sz="0" w:space="0" w:color="auto"/>
        <w:left w:val="none" w:sz="0" w:space="0" w:color="auto"/>
        <w:bottom w:val="none" w:sz="0" w:space="0" w:color="auto"/>
        <w:right w:val="none" w:sz="0" w:space="0" w:color="auto"/>
      </w:divBdr>
    </w:div>
    <w:div w:id="764037548">
      <w:bodyDiv w:val="1"/>
      <w:marLeft w:val="0"/>
      <w:marRight w:val="0"/>
      <w:marTop w:val="0"/>
      <w:marBottom w:val="0"/>
      <w:divBdr>
        <w:top w:val="none" w:sz="0" w:space="0" w:color="auto"/>
        <w:left w:val="none" w:sz="0" w:space="0" w:color="auto"/>
        <w:bottom w:val="none" w:sz="0" w:space="0" w:color="auto"/>
        <w:right w:val="none" w:sz="0" w:space="0" w:color="auto"/>
      </w:divBdr>
    </w:div>
    <w:div w:id="779299280">
      <w:bodyDiv w:val="1"/>
      <w:marLeft w:val="0"/>
      <w:marRight w:val="0"/>
      <w:marTop w:val="0"/>
      <w:marBottom w:val="0"/>
      <w:divBdr>
        <w:top w:val="none" w:sz="0" w:space="0" w:color="auto"/>
        <w:left w:val="none" w:sz="0" w:space="0" w:color="auto"/>
        <w:bottom w:val="none" w:sz="0" w:space="0" w:color="auto"/>
        <w:right w:val="none" w:sz="0" w:space="0" w:color="auto"/>
      </w:divBdr>
    </w:div>
    <w:div w:id="824471809">
      <w:bodyDiv w:val="1"/>
      <w:marLeft w:val="0"/>
      <w:marRight w:val="0"/>
      <w:marTop w:val="0"/>
      <w:marBottom w:val="0"/>
      <w:divBdr>
        <w:top w:val="none" w:sz="0" w:space="0" w:color="auto"/>
        <w:left w:val="none" w:sz="0" w:space="0" w:color="auto"/>
        <w:bottom w:val="none" w:sz="0" w:space="0" w:color="auto"/>
        <w:right w:val="none" w:sz="0" w:space="0" w:color="auto"/>
      </w:divBdr>
    </w:div>
    <w:div w:id="829950035">
      <w:bodyDiv w:val="1"/>
      <w:marLeft w:val="0"/>
      <w:marRight w:val="0"/>
      <w:marTop w:val="0"/>
      <w:marBottom w:val="0"/>
      <w:divBdr>
        <w:top w:val="none" w:sz="0" w:space="0" w:color="auto"/>
        <w:left w:val="none" w:sz="0" w:space="0" w:color="auto"/>
        <w:bottom w:val="none" w:sz="0" w:space="0" w:color="auto"/>
        <w:right w:val="none" w:sz="0" w:space="0" w:color="auto"/>
      </w:divBdr>
    </w:div>
    <w:div w:id="851605879">
      <w:bodyDiv w:val="1"/>
      <w:marLeft w:val="0"/>
      <w:marRight w:val="0"/>
      <w:marTop w:val="0"/>
      <w:marBottom w:val="0"/>
      <w:divBdr>
        <w:top w:val="none" w:sz="0" w:space="0" w:color="auto"/>
        <w:left w:val="none" w:sz="0" w:space="0" w:color="auto"/>
        <w:bottom w:val="none" w:sz="0" w:space="0" w:color="auto"/>
        <w:right w:val="none" w:sz="0" w:space="0" w:color="auto"/>
      </w:divBdr>
    </w:div>
    <w:div w:id="862521717">
      <w:bodyDiv w:val="1"/>
      <w:marLeft w:val="0"/>
      <w:marRight w:val="0"/>
      <w:marTop w:val="0"/>
      <w:marBottom w:val="0"/>
      <w:divBdr>
        <w:top w:val="none" w:sz="0" w:space="0" w:color="auto"/>
        <w:left w:val="none" w:sz="0" w:space="0" w:color="auto"/>
        <w:bottom w:val="none" w:sz="0" w:space="0" w:color="auto"/>
        <w:right w:val="none" w:sz="0" w:space="0" w:color="auto"/>
      </w:divBdr>
    </w:div>
    <w:div w:id="964458302">
      <w:bodyDiv w:val="1"/>
      <w:marLeft w:val="0"/>
      <w:marRight w:val="0"/>
      <w:marTop w:val="0"/>
      <w:marBottom w:val="0"/>
      <w:divBdr>
        <w:top w:val="none" w:sz="0" w:space="0" w:color="auto"/>
        <w:left w:val="none" w:sz="0" w:space="0" w:color="auto"/>
        <w:bottom w:val="none" w:sz="0" w:space="0" w:color="auto"/>
        <w:right w:val="none" w:sz="0" w:space="0" w:color="auto"/>
      </w:divBdr>
    </w:div>
    <w:div w:id="1041633054">
      <w:bodyDiv w:val="1"/>
      <w:marLeft w:val="0"/>
      <w:marRight w:val="0"/>
      <w:marTop w:val="0"/>
      <w:marBottom w:val="0"/>
      <w:divBdr>
        <w:top w:val="none" w:sz="0" w:space="0" w:color="auto"/>
        <w:left w:val="none" w:sz="0" w:space="0" w:color="auto"/>
        <w:bottom w:val="none" w:sz="0" w:space="0" w:color="auto"/>
        <w:right w:val="none" w:sz="0" w:space="0" w:color="auto"/>
      </w:divBdr>
    </w:div>
    <w:div w:id="1084230624">
      <w:bodyDiv w:val="1"/>
      <w:marLeft w:val="0"/>
      <w:marRight w:val="0"/>
      <w:marTop w:val="0"/>
      <w:marBottom w:val="0"/>
      <w:divBdr>
        <w:top w:val="none" w:sz="0" w:space="0" w:color="auto"/>
        <w:left w:val="none" w:sz="0" w:space="0" w:color="auto"/>
        <w:bottom w:val="none" w:sz="0" w:space="0" w:color="auto"/>
        <w:right w:val="none" w:sz="0" w:space="0" w:color="auto"/>
      </w:divBdr>
    </w:div>
    <w:div w:id="1090659179">
      <w:bodyDiv w:val="1"/>
      <w:marLeft w:val="0"/>
      <w:marRight w:val="0"/>
      <w:marTop w:val="0"/>
      <w:marBottom w:val="0"/>
      <w:divBdr>
        <w:top w:val="none" w:sz="0" w:space="0" w:color="auto"/>
        <w:left w:val="none" w:sz="0" w:space="0" w:color="auto"/>
        <w:bottom w:val="none" w:sz="0" w:space="0" w:color="auto"/>
        <w:right w:val="none" w:sz="0" w:space="0" w:color="auto"/>
      </w:divBdr>
    </w:div>
    <w:div w:id="1091048606">
      <w:bodyDiv w:val="1"/>
      <w:marLeft w:val="0"/>
      <w:marRight w:val="0"/>
      <w:marTop w:val="0"/>
      <w:marBottom w:val="0"/>
      <w:divBdr>
        <w:top w:val="none" w:sz="0" w:space="0" w:color="auto"/>
        <w:left w:val="none" w:sz="0" w:space="0" w:color="auto"/>
        <w:bottom w:val="none" w:sz="0" w:space="0" w:color="auto"/>
        <w:right w:val="none" w:sz="0" w:space="0" w:color="auto"/>
      </w:divBdr>
    </w:div>
    <w:div w:id="1199852241">
      <w:bodyDiv w:val="1"/>
      <w:marLeft w:val="0"/>
      <w:marRight w:val="0"/>
      <w:marTop w:val="0"/>
      <w:marBottom w:val="0"/>
      <w:divBdr>
        <w:top w:val="none" w:sz="0" w:space="0" w:color="auto"/>
        <w:left w:val="none" w:sz="0" w:space="0" w:color="auto"/>
        <w:bottom w:val="none" w:sz="0" w:space="0" w:color="auto"/>
        <w:right w:val="none" w:sz="0" w:space="0" w:color="auto"/>
      </w:divBdr>
    </w:div>
    <w:div w:id="1249384587">
      <w:bodyDiv w:val="1"/>
      <w:marLeft w:val="0"/>
      <w:marRight w:val="0"/>
      <w:marTop w:val="0"/>
      <w:marBottom w:val="0"/>
      <w:divBdr>
        <w:top w:val="none" w:sz="0" w:space="0" w:color="auto"/>
        <w:left w:val="none" w:sz="0" w:space="0" w:color="auto"/>
        <w:bottom w:val="none" w:sz="0" w:space="0" w:color="auto"/>
        <w:right w:val="none" w:sz="0" w:space="0" w:color="auto"/>
      </w:divBdr>
    </w:div>
    <w:div w:id="1251038115">
      <w:bodyDiv w:val="1"/>
      <w:marLeft w:val="0"/>
      <w:marRight w:val="0"/>
      <w:marTop w:val="0"/>
      <w:marBottom w:val="0"/>
      <w:divBdr>
        <w:top w:val="none" w:sz="0" w:space="0" w:color="auto"/>
        <w:left w:val="none" w:sz="0" w:space="0" w:color="auto"/>
        <w:bottom w:val="none" w:sz="0" w:space="0" w:color="auto"/>
        <w:right w:val="none" w:sz="0" w:space="0" w:color="auto"/>
      </w:divBdr>
    </w:div>
    <w:div w:id="1335300650">
      <w:bodyDiv w:val="1"/>
      <w:marLeft w:val="0"/>
      <w:marRight w:val="0"/>
      <w:marTop w:val="0"/>
      <w:marBottom w:val="0"/>
      <w:divBdr>
        <w:top w:val="none" w:sz="0" w:space="0" w:color="auto"/>
        <w:left w:val="none" w:sz="0" w:space="0" w:color="auto"/>
        <w:bottom w:val="none" w:sz="0" w:space="0" w:color="auto"/>
        <w:right w:val="none" w:sz="0" w:space="0" w:color="auto"/>
      </w:divBdr>
    </w:div>
    <w:div w:id="1378312078">
      <w:bodyDiv w:val="1"/>
      <w:marLeft w:val="0"/>
      <w:marRight w:val="0"/>
      <w:marTop w:val="0"/>
      <w:marBottom w:val="0"/>
      <w:divBdr>
        <w:top w:val="none" w:sz="0" w:space="0" w:color="auto"/>
        <w:left w:val="none" w:sz="0" w:space="0" w:color="auto"/>
        <w:bottom w:val="none" w:sz="0" w:space="0" w:color="auto"/>
        <w:right w:val="none" w:sz="0" w:space="0" w:color="auto"/>
      </w:divBdr>
    </w:div>
    <w:div w:id="1417824579">
      <w:bodyDiv w:val="1"/>
      <w:marLeft w:val="0"/>
      <w:marRight w:val="0"/>
      <w:marTop w:val="0"/>
      <w:marBottom w:val="0"/>
      <w:divBdr>
        <w:top w:val="none" w:sz="0" w:space="0" w:color="auto"/>
        <w:left w:val="none" w:sz="0" w:space="0" w:color="auto"/>
        <w:bottom w:val="none" w:sz="0" w:space="0" w:color="auto"/>
        <w:right w:val="none" w:sz="0" w:space="0" w:color="auto"/>
      </w:divBdr>
    </w:div>
    <w:div w:id="1435176075">
      <w:bodyDiv w:val="1"/>
      <w:marLeft w:val="0"/>
      <w:marRight w:val="0"/>
      <w:marTop w:val="0"/>
      <w:marBottom w:val="0"/>
      <w:divBdr>
        <w:top w:val="none" w:sz="0" w:space="0" w:color="auto"/>
        <w:left w:val="none" w:sz="0" w:space="0" w:color="auto"/>
        <w:bottom w:val="none" w:sz="0" w:space="0" w:color="auto"/>
        <w:right w:val="none" w:sz="0" w:space="0" w:color="auto"/>
      </w:divBdr>
    </w:div>
    <w:div w:id="1439830484">
      <w:bodyDiv w:val="1"/>
      <w:marLeft w:val="0"/>
      <w:marRight w:val="0"/>
      <w:marTop w:val="0"/>
      <w:marBottom w:val="0"/>
      <w:divBdr>
        <w:top w:val="none" w:sz="0" w:space="0" w:color="auto"/>
        <w:left w:val="none" w:sz="0" w:space="0" w:color="auto"/>
        <w:bottom w:val="none" w:sz="0" w:space="0" w:color="auto"/>
        <w:right w:val="none" w:sz="0" w:space="0" w:color="auto"/>
      </w:divBdr>
    </w:div>
    <w:div w:id="1497648787">
      <w:bodyDiv w:val="1"/>
      <w:marLeft w:val="0"/>
      <w:marRight w:val="0"/>
      <w:marTop w:val="0"/>
      <w:marBottom w:val="0"/>
      <w:divBdr>
        <w:top w:val="none" w:sz="0" w:space="0" w:color="auto"/>
        <w:left w:val="none" w:sz="0" w:space="0" w:color="auto"/>
        <w:bottom w:val="none" w:sz="0" w:space="0" w:color="auto"/>
        <w:right w:val="none" w:sz="0" w:space="0" w:color="auto"/>
      </w:divBdr>
    </w:div>
    <w:div w:id="1618442445">
      <w:bodyDiv w:val="1"/>
      <w:marLeft w:val="0"/>
      <w:marRight w:val="0"/>
      <w:marTop w:val="0"/>
      <w:marBottom w:val="0"/>
      <w:divBdr>
        <w:top w:val="none" w:sz="0" w:space="0" w:color="auto"/>
        <w:left w:val="none" w:sz="0" w:space="0" w:color="auto"/>
        <w:bottom w:val="none" w:sz="0" w:space="0" w:color="auto"/>
        <w:right w:val="none" w:sz="0" w:space="0" w:color="auto"/>
      </w:divBdr>
    </w:div>
    <w:div w:id="1681539354">
      <w:bodyDiv w:val="1"/>
      <w:marLeft w:val="0"/>
      <w:marRight w:val="0"/>
      <w:marTop w:val="0"/>
      <w:marBottom w:val="0"/>
      <w:divBdr>
        <w:top w:val="none" w:sz="0" w:space="0" w:color="auto"/>
        <w:left w:val="none" w:sz="0" w:space="0" w:color="auto"/>
        <w:bottom w:val="none" w:sz="0" w:space="0" w:color="auto"/>
        <w:right w:val="none" w:sz="0" w:space="0" w:color="auto"/>
      </w:divBdr>
    </w:div>
    <w:div w:id="1742677455">
      <w:bodyDiv w:val="1"/>
      <w:marLeft w:val="0"/>
      <w:marRight w:val="0"/>
      <w:marTop w:val="0"/>
      <w:marBottom w:val="0"/>
      <w:divBdr>
        <w:top w:val="none" w:sz="0" w:space="0" w:color="auto"/>
        <w:left w:val="none" w:sz="0" w:space="0" w:color="auto"/>
        <w:bottom w:val="none" w:sz="0" w:space="0" w:color="auto"/>
        <w:right w:val="none" w:sz="0" w:space="0" w:color="auto"/>
      </w:divBdr>
    </w:div>
    <w:div w:id="1815557702">
      <w:bodyDiv w:val="1"/>
      <w:marLeft w:val="0"/>
      <w:marRight w:val="0"/>
      <w:marTop w:val="0"/>
      <w:marBottom w:val="0"/>
      <w:divBdr>
        <w:top w:val="none" w:sz="0" w:space="0" w:color="auto"/>
        <w:left w:val="none" w:sz="0" w:space="0" w:color="auto"/>
        <w:bottom w:val="none" w:sz="0" w:space="0" w:color="auto"/>
        <w:right w:val="none" w:sz="0" w:space="0" w:color="auto"/>
      </w:divBdr>
    </w:div>
    <w:div w:id="1836456866">
      <w:bodyDiv w:val="1"/>
      <w:marLeft w:val="0"/>
      <w:marRight w:val="0"/>
      <w:marTop w:val="0"/>
      <w:marBottom w:val="0"/>
      <w:divBdr>
        <w:top w:val="none" w:sz="0" w:space="0" w:color="auto"/>
        <w:left w:val="none" w:sz="0" w:space="0" w:color="auto"/>
        <w:bottom w:val="none" w:sz="0" w:space="0" w:color="auto"/>
        <w:right w:val="none" w:sz="0" w:space="0" w:color="auto"/>
      </w:divBdr>
    </w:div>
    <w:div w:id="1861115807">
      <w:bodyDiv w:val="1"/>
      <w:marLeft w:val="0"/>
      <w:marRight w:val="0"/>
      <w:marTop w:val="0"/>
      <w:marBottom w:val="0"/>
      <w:divBdr>
        <w:top w:val="none" w:sz="0" w:space="0" w:color="auto"/>
        <w:left w:val="none" w:sz="0" w:space="0" w:color="auto"/>
        <w:bottom w:val="none" w:sz="0" w:space="0" w:color="auto"/>
        <w:right w:val="none" w:sz="0" w:space="0" w:color="auto"/>
      </w:divBdr>
    </w:div>
    <w:div w:id="1898395346">
      <w:bodyDiv w:val="1"/>
      <w:marLeft w:val="0"/>
      <w:marRight w:val="0"/>
      <w:marTop w:val="0"/>
      <w:marBottom w:val="0"/>
      <w:divBdr>
        <w:top w:val="none" w:sz="0" w:space="0" w:color="auto"/>
        <w:left w:val="none" w:sz="0" w:space="0" w:color="auto"/>
        <w:bottom w:val="none" w:sz="0" w:space="0" w:color="auto"/>
        <w:right w:val="none" w:sz="0" w:space="0" w:color="auto"/>
      </w:divBdr>
    </w:div>
    <w:div w:id="1910144410">
      <w:bodyDiv w:val="1"/>
      <w:marLeft w:val="0"/>
      <w:marRight w:val="0"/>
      <w:marTop w:val="0"/>
      <w:marBottom w:val="0"/>
      <w:divBdr>
        <w:top w:val="none" w:sz="0" w:space="0" w:color="auto"/>
        <w:left w:val="none" w:sz="0" w:space="0" w:color="auto"/>
        <w:bottom w:val="none" w:sz="0" w:space="0" w:color="auto"/>
        <w:right w:val="none" w:sz="0" w:space="0" w:color="auto"/>
      </w:divBdr>
    </w:div>
    <w:div w:id="1929193066">
      <w:bodyDiv w:val="1"/>
      <w:marLeft w:val="0"/>
      <w:marRight w:val="0"/>
      <w:marTop w:val="0"/>
      <w:marBottom w:val="0"/>
      <w:divBdr>
        <w:top w:val="none" w:sz="0" w:space="0" w:color="auto"/>
        <w:left w:val="none" w:sz="0" w:space="0" w:color="auto"/>
        <w:bottom w:val="none" w:sz="0" w:space="0" w:color="auto"/>
        <w:right w:val="none" w:sz="0" w:space="0" w:color="auto"/>
      </w:divBdr>
    </w:div>
    <w:div w:id="1992129674">
      <w:bodyDiv w:val="1"/>
      <w:marLeft w:val="0"/>
      <w:marRight w:val="0"/>
      <w:marTop w:val="0"/>
      <w:marBottom w:val="0"/>
      <w:divBdr>
        <w:top w:val="none" w:sz="0" w:space="0" w:color="auto"/>
        <w:left w:val="none" w:sz="0" w:space="0" w:color="auto"/>
        <w:bottom w:val="none" w:sz="0" w:space="0" w:color="auto"/>
        <w:right w:val="none" w:sz="0" w:space="0" w:color="auto"/>
      </w:divBdr>
    </w:div>
    <w:div w:id="2060662893">
      <w:bodyDiv w:val="1"/>
      <w:marLeft w:val="0"/>
      <w:marRight w:val="0"/>
      <w:marTop w:val="0"/>
      <w:marBottom w:val="0"/>
      <w:divBdr>
        <w:top w:val="none" w:sz="0" w:space="0" w:color="auto"/>
        <w:left w:val="none" w:sz="0" w:space="0" w:color="auto"/>
        <w:bottom w:val="none" w:sz="0" w:space="0" w:color="auto"/>
        <w:right w:val="none" w:sz="0" w:space="0" w:color="auto"/>
      </w:divBdr>
    </w:div>
    <w:div w:id="2071801335">
      <w:bodyDiv w:val="1"/>
      <w:marLeft w:val="0"/>
      <w:marRight w:val="0"/>
      <w:marTop w:val="0"/>
      <w:marBottom w:val="0"/>
      <w:divBdr>
        <w:top w:val="none" w:sz="0" w:space="0" w:color="auto"/>
        <w:left w:val="none" w:sz="0" w:space="0" w:color="auto"/>
        <w:bottom w:val="none" w:sz="0" w:space="0" w:color="auto"/>
        <w:right w:val="none" w:sz="0" w:space="0" w:color="auto"/>
      </w:divBdr>
    </w:div>
    <w:div w:id="2077897776">
      <w:bodyDiv w:val="1"/>
      <w:marLeft w:val="0"/>
      <w:marRight w:val="0"/>
      <w:marTop w:val="0"/>
      <w:marBottom w:val="0"/>
      <w:divBdr>
        <w:top w:val="none" w:sz="0" w:space="0" w:color="auto"/>
        <w:left w:val="none" w:sz="0" w:space="0" w:color="auto"/>
        <w:bottom w:val="none" w:sz="0" w:space="0" w:color="auto"/>
        <w:right w:val="none" w:sz="0" w:space="0" w:color="auto"/>
      </w:divBdr>
    </w:div>
    <w:div w:id="2120878734">
      <w:bodyDiv w:val="1"/>
      <w:marLeft w:val="0"/>
      <w:marRight w:val="0"/>
      <w:marTop w:val="0"/>
      <w:marBottom w:val="0"/>
      <w:divBdr>
        <w:top w:val="none" w:sz="0" w:space="0" w:color="auto"/>
        <w:left w:val="none" w:sz="0" w:space="0" w:color="auto"/>
        <w:bottom w:val="none" w:sz="0" w:space="0" w:color="auto"/>
        <w:right w:val="none" w:sz="0" w:space="0" w:color="auto"/>
      </w:divBdr>
    </w:div>
    <w:div w:id="21292759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hart" Target="charts/chart3.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hart" Target="charts/chart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wto.org/english/thewto_e/countries_e/brazil_e.htm"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www.imf.org/en/Publications/FM/Issues/2018/04/06/fiscal-monitor-april-2018"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data.worldbank.org/indicator/EN.CO2.TRAN.Z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periodicos.ufes.br/BJP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periodicos.ufes.br/BJ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u&#225;rio\Dropbox\2018\ADL%20TABOADA\artigo\dad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u&#225;rio\Dropbox\2018\ADL%20TABOADA\artigo\dad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u&#225;rio\Dropbox\2018\ADL%20TABOADA\artigo\dad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u&#225;rio\Dropbox\2018\ADL%20TABOADA\artigo\dad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u&#225;rio\Dropbox\2018\ADL%20TABOADA\artigo\dad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u&#225;rio\Dropbox\2018\ADL%20TABOADA\artigo\dad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'dados por anos'!$B$7</c:f>
              <c:strCache>
                <c:ptCount val="1"/>
                <c:pt idx="0">
                  <c:v>LPI</c:v>
                </c:pt>
              </c:strCache>
            </c:strRef>
          </c:tx>
          <c:spPr>
            <a:ln w="28575" cap="rnd">
              <a:solidFill>
                <a:schemeClr val="accent1"/>
              </a:solidFill>
              <a:round/>
            </a:ln>
            <a:effectLst/>
          </c:spPr>
          <c:marker>
            <c:symbol val="none"/>
          </c:marker>
          <c:dLbls>
            <c:dLbl>
              <c:idx val="0"/>
              <c:layout>
                <c:manualLayout>
                  <c:x val="0"/>
                  <c:y val="2.005012531328316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9F26-4AB7-BB90-AD3A64DB179A}"/>
                </c:ext>
              </c:extLst>
            </c:dLbl>
            <c:dLbl>
              <c:idx val="1"/>
              <c:layout>
                <c:manualLayout>
                  <c:x val="-5.6838365896980464E-2"/>
                  <c:y val="6.015037593984962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F26-4AB7-BB90-AD3A64DB179A}"/>
                </c:ext>
              </c:extLst>
            </c:dLbl>
            <c:dLbl>
              <c:idx val="3"/>
              <c:layout>
                <c:manualLayout>
                  <c:x val="0"/>
                  <c:y val="-0.1203007518796993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F26-4AB7-BB90-AD3A64DB17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'dados por anos'!$C$1:$H$1</c:f>
              <c:strCache>
                <c:ptCount val="6"/>
                <c:pt idx="0">
                  <c:v>Alfândega</c:v>
                </c:pt>
                <c:pt idx="1">
                  <c:v>Infraestrutura</c:v>
                </c:pt>
                <c:pt idx="2">
                  <c:v>Expedição internacional</c:v>
                </c:pt>
                <c:pt idx="3">
                  <c:v>Qualidade Serviços</c:v>
                </c:pt>
                <c:pt idx="4">
                  <c:v>Rastreio e Monitoramento</c:v>
                </c:pt>
                <c:pt idx="5">
                  <c:v>Pontualidade</c:v>
                </c:pt>
              </c:strCache>
            </c:strRef>
          </c:cat>
          <c:val>
            <c:numRef>
              <c:f>'dados por anos'!$C$7:$H$7</c:f>
              <c:numCache>
                <c:formatCode>0.00</c:formatCode>
                <c:ptCount val="6"/>
                <c:pt idx="0">
                  <c:v>0.38950367346938775</c:v>
                </c:pt>
                <c:pt idx="1">
                  <c:v>0.47082514285714278</c:v>
                </c:pt>
                <c:pt idx="2">
                  <c:v>0.4259102040816326</c:v>
                </c:pt>
                <c:pt idx="3">
                  <c:v>0.50389542857142855</c:v>
                </c:pt>
                <c:pt idx="4">
                  <c:v>0.46342216326530605</c:v>
                </c:pt>
                <c:pt idx="5">
                  <c:v>0.50639836734693877</c:v>
                </c:pt>
              </c:numCache>
            </c:numRef>
          </c:val>
          <c:extLst xmlns:c16r2="http://schemas.microsoft.com/office/drawing/2015/06/chart">
            <c:ext xmlns:c16="http://schemas.microsoft.com/office/drawing/2014/chart" uri="{C3380CC4-5D6E-409C-BE32-E72D297353CC}">
              <c16:uniqueId val="{00000000-9F26-4AB7-BB90-AD3A64DB179A}"/>
            </c:ext>
          </c:extLst>
        </c:ser>
        <c:ser>
          <c:idx val="1"/>
          <c:order val="1"/>
          <c:tx>
            <c:strRef>
              <c:f>'dados por anos'!$B$8</c:f>
              <c:strCache>
                <c:ptCount val="1"/>
                <c:pt idx="0">
                  <c:v>LPIw</c:v>
                </c:pt>
              </c:strCache>
            </c:strRef>
          </c:tx>
          <c:spPr>
            <a:ln w="28575" cap="rnd">
              <a:solidFill>
                <a:schemeClr val="accent2"/>
              </a:solidFill>
              <a:round/>
            </a:ln>
            <a:effectLst/>
          </c:spPr>
          <c:marker>
            <c:symbol val="none"/>
          </c:marker>
          <c:dLbls>
            <c:dLbl>
              <c:idx val="0"/>
              <c:layout>
                <c:manualLayout>
                  <c:x val="0"/>
                  <c:y val="0.1052631578947368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F26-4AB7-BB90-AD3A64DB179A}"/>
                </c:ext>
              </c:extLst>
            </c:dLbl>
            <c:dLbl>
              <c:idx val="1"/>
              <c:layout>
                <c:manualLayout>
                  <c:x val="-1.4209591474245116E-2"/>
                  <c:y val="6.516290726817042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F26-4AB7-BB90-AD3A64DB179A}"/>
                </c:ext>
              </c:extLst>
            </c:dLbl>
            <c:dLbl>
              <c:idx val="2"/>
              <c:layout>
                <c:manualLayout>
                  <c:x val="-5.4470100651272946E-2"/>
                  <c:y val="-4.010025062656641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F26-4AB7-BB90-AD3A64DB179A}"/>
                </c:ext>
              </c:extLst>
            </c:dLbl>
            <c:dLbl>
              <c:idx val="4"/>
              <c:layout>
                <c:manualLayout>
                  <c:x val="1.6577856719952634E-2"/>
                  <c:y val="-5.012531328320893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F26-4AB7-BB90-AD3A64DB179A}"/>
                </c:ext>
              </c:extLst>
            </c:dLbl>
            <c:dLbl>
              <c:idx val="5"/>
              <c:layout>
                <c:manualLayout>
                  <c:x val="5.2101835405565421E-2"/>
                  <c:y val="7.017543859649122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F26-4AB7-BB90-AD3A64DB17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'dados por anos'!$C$1:$H$1</c:f>
              <c:strCache>
                <c:ptCount val="6"/>
                <c:pt idx="0">
                  <c:v>Alfândega</c:v>
                </c:pt>
                <c:pt idx="1">
                  <c:v>Infraestrutura</c:v>
                </c:pt>
                <c:pt idx="2">
                  <c:v>Expedição internacional</c:v>
                </c:pt>
                <c:pt idx="3">
                  <c:v>Qualidade Serviços</c:v>
                </c:pt>
                <c:pt idx="4">
                  <c:v>Rastreio e Monitoramento</c:v>
                </c:pt>
                <c:pt idx="5">
                  <c:v>Pontualidade</c:v>
                </c:pt>
              </c:strCache>
            </c:strRef>
          </c:cat>
          <c:val>
            <c:numRef>
              <c:f>'dados por anos'!$C$8:$H$8</c:f>
              <c:numCache>
                <c:formatCode>0.00</c:formatCode>
                <c:ptCount val="6"/>
                <c:pt idx="0">
                  <c:v>0.38171359999999999</c:v>
                </c:pt>
                <c:pt idx="1">
                  <c:v>0.65915519999999994</c:v>
                </c:pt>
                <c:pt idx="2">
                  <c:v>0.33913099999999996</c:v>
                </c:pt>
                <c:pt idx="3">
                  <c:v>0.64666579999999996</c:v>
                </c:pt>
                <c:pt idx="4">
                  <c:v>0.27692299999999997</c:v>
                </c:pt>
                <c:pt idx="5">
                  <c:v>0.4962704</c:v>
                </c:pt>
              </c:numCache>
            </c:numRef>
          </c:val>
          <c:extLst xmlns:c16r2="http://schemas.microsoft.com/office/drawing/2015/06/chart">
            <c:ext xmlns:c16="http://schemas.microsoft.com/office/drawing/2014/chart" uri="{C3380CC4-5D6E-409C-BE32-E72D297353CC}">
              <c16:uniqueId val="{00000001-9F26-4AB7-BB90-AD3A64DB179A}"/>
            </c:ext>
          </c:extLst>
        </c:ser>
        <c:dLbls>
          <c:showLegendKey val="0"/>
          <c:showVal val="0"/>
          <c:showCatName val="0"/>
          <c:showSerName val="0"/>
          <c:showPercent val="0"/>
          <c:showBubbleSize val="0"/>
        </c:dLbls>
        <c:axId val="55442944"/>
        <c:axId val="197330624"/>
      </c:radarChart>
      <c:catAx>
        <c:axId val="5544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97330624"/>
        <c:crosses val="autoZero"/>
        <c:auto val="1"/>
        <c:lblAlgn val="ctr"/>
        <c:lblOffset val="100"/>
        <c:noMultiLvlLbl val="0"/>
      </c:catAx>
      <c:valAx>
        <c:axId val="19733062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54429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'dados por anos'!$B$11</c:f>
              <c:strCache>
                <c:ptCount val="1"/>
                <c:pt idx="0">
                  <c:v>LPI</c:v>
                </c:pt>
              </c:strCache>
            </c:strRef>
          </c:tx>
          <c:spPr>
            <a:ln w="28575" cap="rnd">
              <a:solidFill>
                <a:schemeClr val="accent1"/>
              </a:solidFill>
              <a:round/>
            </a:ln>
            <a:effectLst/>
          </c:spPr>
          <c:marker>
            <c:symbol val="none"/>
          </c:marker>
          <c:dLbls>
            <c:dLbl>
              <c:idx val="0"/>
              <c:layout>
                <c:manualLayout>
                  <c:x val="2.306805074971165E-3"/>
                  <c:y val="5.578800557880004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F87-4EA4-85FC-BA29911AB4D4}"/>
                </c:ext>
              </c:extLst>
            </c:dLbl>
            <c:dLbl>
              <c:idx val="1"/>
              <c:layout>
                <c:manualLayout>
                  <c:x val="-4.984706015633851E-2"/>
                  <c:y val="6.5906210392902412E-2"/>
                </c:manualLayout>
              </c:layout>
              <c:showLegendKey val="0"/>
              <c:showVal val="1"/>
              <c:showCatName val="0"/>
              <c:showSerName val="0"/>
              <c:showPercent val="0"/>
              <c:showBubbleSize val="0"/>
            </c:dLbl>
            <c:dLbl>
              <c:idx val="2"/>
              <c:layout>
                <c:manualLayout>
                  <c:x val="-9.22722029988466E-3"/>
                  <c:y val="-1.11576011157601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F87-4EA4-85FC-BA29911AB4D4}"/>
                </c:ext>
              </c:extLst>
            </c:dLbl>
            <c:dLbl>
              <c:idx val="3"/>
              <c:layout>
                <c:manualLayout>
                  <c:x val="-8.4581875651897525E-17"/>
                  <c:y val="-0.100418410041841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AF87-4EA4-85FC-BA29911AB4D4}"/>
                </c:ext>
              </c:extLst>
            </c:dLbl>
            <c:dLbl>
              <c:idx val="4"/>
              <c:layout>
                <c:manualLayout>
                  <c:x val="1.1534025374855825E-2"/>
                  <c:y val="2.231520223152012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AF87-4EA4-85FC-BA29911AB4D4}"/>
                </c:ext>
              </c:extLst>
            </c:dLbl>
            <c:dLbl>
              <c:idx val="5"/>
              <c:layout>
                <c:manualLayout>
                  <c:x val="-6.920415224913495E-3"/>
                  <c:y val="7.25244072524407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F87-4EA4-85FC-BA29911AB4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'dados por anos'!$C$1:$H$1</c:f>
              <c:strCache>
                <c:ptCount val="6"/>
                <c:pt idx="0">
                  <c:v>Alfândega</c:v>
                </c:pt>
                <c:pt idx="1">
                  <c:v>Infraestrutura</c:v>
                </c:pt>
                <c:pt idx="2">
                  <c:v>Expedição internacional</c:v>
                </c:pt>
                <c:pt idx="3">
                  <c:v>Qualidade Serviços</c:v>
                </c:pt>
                <c:pt idx="4">
                  <c:v>Rastreio e Monitoramento</c:v>
                </c:pt>
                <c:pt idx="5">
                  <c:v>Pontualidade</c:v>
                </c:pt>
              </c:strCache>
            </c:strRef>
          </c:cat>
          <c:val>
            <c:numRef>
              <c:f>'dados por anos'!$C$11:$H$11</c:f>
              <c:numCache>
                <c:formatCode>0.00</c:formatCode>
                <c:ptCount val="6"/>
                <c:pt idx="0">
                  <c:v>0.38691314285714284</c:v>
                </c:pt>
                <c:pt idx="1">
                  <c:v>0.53104114285714277</c:v>
                </c:pt>
                <c:pt idx="2">
                  <c:v>0.47511722448979582</c:v>
                </c:pt>
                <c:pt idx="3">
                  <c:v>0.56496137142857139</c:v>
                </c:pt>
                <c:pt idx="4">
                  <c:v>0.57189360408163259</c:v>
                </c:pt>
                <c:pt idx="5">
                  <c:v>0.67544473469387756</c:v>
                </c:pt>
              </c:numCache>
            </c:numRef>
          </c:val>
          <c:extLst xmlns:c16r2="http://schemas.microsoft.com/office/drawing/2015/06/chart">
            <c:ext xmlns:c16="http://schemas.microsoft.com/office/drawing/2014/chart" uri="{C3380CC4-5D6E-409C-BE32-E72D297353CC}">
              <c16:uniqueId val="{00000000-AF87-4EA4-85FC-BA29911AB4D4}"/>
            </c:ext>
          </c:extLst>
        </c:ser>
        <c:ser>
          <c:idx val="1"/>
          <c:order val="1"/>
          <c:tx>
            <c:strRef>
              <c:f>'dados por anos'!$B$12</c:f>
              <c:strCache>
                <c:ptCount val="1"/>
                <c:pt idx="0">
                  <c:v>LPIw</c:v>
                </c:pt>
              </c:strCache>
            </c:strRef>
          </c:tx>
          <c:spPr>
            <a:ln w="28575" cap="rnd">
              <a:solidFill>
                <a:schemeClr val="accent2"/>
              </a:solidFill>
              <a:round/>
            </a:ln>
            <a:effectLst/>
          </c:spPr>
          <c:marker>
            <c:symbol val="none"/>
          </c:marker>
          <c:dLbls>
            <c:dLbl>
              <c:idx val="0"/>
              <c:layout>
                <c:manualLayout>
                  <c:x val="-2.3068050749712496E-3"/>
                  <c:y val="0.1059972105997210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F87-4EA4-85FC-BA29911AB4D4}"/>
                </c:ext>
              </c:extLst>
            </c:dLbl>
            <c:dLbl>
              <c:idx val="1"/>
              <c:layout>
                <c:manualLayout>
                  <c:x val="-4.3049672328302188E-2"/>
                  <c:y val="0"/>
                </c:manualLayout>
              </c:layout>
              <c:showLegendKey val="0"/>
              <c:showVal val="1"/>
              <c:showCatName val="0"/>
              <c:showSerName val="0"/>
              <c:showPercent val="0"/>
              <c:showBubbleSize val="0"/>
            </c:dLbl>
            <c:dLbl>
              <c:idx val="2"/>
              <c:layout>
                <c:manualLayout>
                  <c:x val="-3.9215686274509803E-2"/>
                  <c:y val="-5.020920502092050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F87-4EA4-85FC-BA29911AB4D4}"/>
                </c:ext>
              </c:extLst>
            </c:dLbl>
            <c:dLbl>
              <c:idx val="3"/>
              <c:layout>
                <c:manualLayout>
                  <c:x val="2.306805074971165E-3"/>
                  <c:y val="-3.34728033472805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AF87-4EA4-85FC-BA29911AB4D4}"/>
                </c:ext>
              </c:extLst>
            </c:dLbl>
            <c:dLbl>
              <c:idx val="4"/>
              <c:layout>
                <c:manualLayout>
                  <c:x val="2.0761245674740483E-2"/>
                  <c:y val="-2.231520223152022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F87-4EA4-85FC-BA29911AB4D4}"/>
                </c:ext>
              </c:extLst>
            </c:dLbl>
            <c:dLbl>
              <c:idx val="5"/>
              <c:layout>
                <c:manualLayout>
                  <c:x val="4.8442906574394463E-2"/>
                  <c:y val="5.578800557880050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AF87-4EA4-85FC-BA29911AB4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'dados por anos'!$C$1:$H$1</c:f>
              <c:strCache>
                <c:ptCount val="6"/>
                <c:pt idx="0">
                  <c:v>Alfândega</c:v>
                </c:pt>
                <c:pt idx="1">
                  <c:v>Infraestrutura</c:v>
                </c:pt>
                <c:pt idx="2">
                  <c:v>Expedição internacional</c:v>
                </c:pt>
                <c:pt idx="3">
                  <c:v>Qualidade Serviços</c:v>
                </c:pt>
                <c:pt idx="4">
                  <c:v>Rastreio e Monitoramento</c:v>
                </c:pt>
                <c:pt idx="5">
                  <c:v>Pontualidade</c:v>
                </c:pt>
              </c:strCache>
            </c:strRef>
          </c:cat>
          <c:val>
            <c:numRef>
              <c:f>'dados por anos'!$C$12:$H$12</c:f>
              <c:numCache>
                <c:formatCode>0.00</c:formatCode>
                <c:ptCount val="6"/>
                <c:pt idx="0">
                  <c:v>0.37917487999999999</c:v>
                </c:pt>
                <c:pt idx="1">
                  <c:v>0.74345759999999994</c:v>
                </c:pt>
                <c:pt idx="2">
                  <c:v>0.37831208999999999</c:v>
                </c:pt>
                <c:pt idx="3">
                  <c:v>0.72503375999999997</c:v>
                </c:pt>
                <c:pt idx="4">
                  <c:v>0.34174130000000003</c:v>
                </c:pt>
                <c:pt idx="5">
                  <c:v>0.66193584000000005</c:v>
                </c:pt>
              </c:numCache>
            </c:numRef>
          </c:val>
          <c:extLst xmlns:c16r2="http://schemas.microsoft.com/office/drawing/2015/06/chart">
            <c:ext xmlns:c16="http://schemas.microsoft.com/office/drawing/2014/chart" uri="{C3380CC4-5D6E-409C-BE32-E72D297353CC}">
              <c16:uniqueId val="{00000001-AF87-4EA4-85FC-BA29911AB4D4}"/>
            </c:ext>
          </c:extLst>
        </c:ser>
        <c:dLbls>
          <c:showLegendKey val="0"/>
          <c:showVal val="0"/>
          <c:showCatName val="0"/>
          <c:showSerName val="0"/>
          <c:showPercent val="0"/>
          <c:showBubbleSize val="0"/>
        </c:dLbls>
        <c:axId val="82135040"/>
        <c:axId val="197332352"/>
      </c:radarChart>
      <c:catAx>
        <c:axId val="8213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97332352"/>
        <c:crosses val="autoZero"/>
        <c:auto val="1"/>
        <c:lblAlgn val="ctr"/>
        <c:lblOffset val="100"/>
        <c:noMultiLvlLbl val="0"/>
      </c:catAx>
      <c:valAx>
        <c:axId val="197332352"/>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821350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'dados por anos'!$B$15</c:f>
              <c:strCache>
                <c:ptCount val="1"/>
                <c:pt idx="0">
                  <c:v>LPI</c:v>
                </c:pt>
              </c:strCache>
            </c:strRef>
          </c:tx>
          <c:spPr>
            <a:ln w="28575" cap="rnd">
              <a:solidFill>
                <a:schemeClr val="accent1"/>
              </a:solidFill>
              <a:round/>
            </a:ln>
            <a:effectLst/>
          </c:spPr>
          <c:marker>
            <c:symbol val="none"/>
          </c:marker>
          <c:dLbls>
            <c:dLbl>
              <c:idx val="0"/>
              <c:layout>
                <c:manualLayout>
                  <c:x val="-1.1111111111111112E-2"/>
                  <c:y val="2.31481481481481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2602-41E4-97B6-82C7C972D789}"/>
                </c:ext>
              </c:extLst>
            </c:dLbl>
            <c:dLbl>
              <c:idx val="1"/>
              <c:layout>
                <c:manualLayout>
                  <c:x val="-4.8805614350910999E-2"/>
                  <c:y val="5.18088924752138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2602-41E4-97B6-82C7C972D789}"/>
                </c:ext>
              </c:extLst>
            </c:dLbl>
            <c:dLbl>
              <c:idx val="3"/>
              <c:layout>
                <c:manualLayout>
                  <c:x val="0"/>
                  <c:y val="-0.1092896174863388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2602-41E4-97B6-82C7C972D789}"/>
                </c:ext>
              </c:extLst>
            </c:dLbl>
            <c:dLbl>
              <c:idx val="5"/>
              <c:layout>
                <c:manualLayout>
                  <c:x val="5.5555555555555558E-3"/>
                  <c:y val="1.388888888888880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2602-41E4-97B6-82C7C972D7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'dados por anos'!$C$1:$H$1</c:f>
              <c:strCache>
                <c:ptCount val="6"/>
                <c:pt idx="0">
                  <c:v>Alfândega</c:v>
                </c:pt>
                <c:pt idx="1">
                  <c:v>Infraestrutura</c:v>
                </c:pt>
                <c:pt idx="2">
                  <c:v>Expedição internacional</c:v>
                </c:pt>
                <c:pt idx="3">
                  <c:v>Qualidade Serviços</c:v>
                </c:pt>
                <c:pt idx="4">
                  <c:v>Rastreio e Monitoramento</c:v>
                </c:pt>
                <c:pt idx="5">
                  <c:v>Pontualidade</c:v>
                </c:pt>
              </c:strCache>
            </c:strRef>
          </c:cat>
          <c:val>
            <c:numRef>
              <c:f>'dados por anos'!$C$15:$H$15</c:f>
              <c:numCache>
                <c:formatCode>0.00</c:formatCode>
                <c:ptCount val="6"/>
                <c:pt idx="0">
                  <c:v>0.40978399999999998</c:v>
                </c:pt>
                <c:pt idx="1">
                  <c:v>0.5256041142857143</c:v>
                </c:pt>
                <c:pt idx="2">
                  <c:v>0.50965714285714281</c:v>
                </c:pt>
                <c:pt idx="3">
                  <c:v>0.53456519999999996</c:v>
                </c:pt>
                <c:pt idx="4">
                  <c:v>0.57191301632653058</c:v>
                </c:pt>
                <c:pt idx="5">
                  <c:v>0.57995673469387754</c:v>
                </c:pt>
              </c:numCache>
            </c:numRef>
          </c:val>
          <c:extLst xmlns:c16r2="http://schemas.microsoft.com/office/drawing/2015/06/chart">
            <c:ext xmlns:c16="http://schemas.microsoft.com/office/drawing/2014/chart" uri="{C3380CC4-5D6E-409C-BE32-E72D297353CC}">
              <c16:uniqueId val="{00000000-2602-41E4-97B6-82C7C972D789}"/>
            </c:ext>
          </c:extLst>
        </c:ser>
        <c:ser>
          <c:idx val="1"/>
          <c:order val="1"/>
          <c:tx>
            <c:strRef>
              <c:f>'dados por anos'!$B$16</c:f>
              <c:strCache>
                <c:ptCount val="1"/>
                <c:pt idx="0">
                  <c:v>LPIw</c:v>
                </c:pt>
              </c:strCache>
            </c:strRef>
          </c:tx>
          <c:spPr>
            <a:ln w="28575" cap="rnd">
              <a:solidFill>
                <a:schemeClr val="accent2"/>
              </a:solidFill>
              <a:round/>
            </a:ln>
            <a:effectLst/>
          </c:spPr>
          <c:marker>
            <c:symbol val="none"/>
          </c:marker>
          <c:dLbls>
            <c:dLbl>
              <c:idx val="0"/>
              <c:layout>
                <c:manualLayout>
                  <c:x val="0"/>
                  <c:y val="0.1018518518518518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2602-41E4-97B6-82C7C972D789}"/>
                </c:ext>
              </c:extLst>
            </c:dLbl>
            <c:dLbl>
              <c:idx val="1"/>
              <c:layout>
                <c:manualLayout>
                  <c:x val="-4.7222222222222221E-2"/>
                  <c:y val="-4.629629629629671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602-41E4-97B6-82C7C972D789}"/>
                </c:ext>
              </c:extLst>
            </c:dLbl>
            <c:dLbl>
              <c:idx val="2"/>
              <c:layout>
                <c:manualLayout>
                  <c:x val="-4.4884042276399895E-2"/>
                  <c:y val="-4.07836920791748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602-41E4-97B6-82C7C972D789}"/>
                </c:ext>
              </c:extLst>
            </c:dLbl>
            <c:dLbl>
              <c:idx val="3"/>
              <c:layout>
                <c:manualLayout>
                  <c:x val="0"/>
                  <c:y val="-2.777777777777794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602-41E4-97B6-82C7C972D789}"/>
                </c:ext>
              </c:extLst>
            </c:dLbl>
            <c:dLbl>
              <c:idx val="4"/>
              <c:layout>
                <c:manualLayout>
                  <c:x val="5.5555555555555608E-2"/>
                  <c:y val="-4.16666666666666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2602-41E4-97B6-82C7C972D789}"/>
                </c:ext>
              </c:extLst>
            </c:dLbl>
            <c:dLbl>
              <c:idx val="5"/>
              <c:layout>
                <c:manualLayout>
                  <c:x val="5.8333333333333334E-2"/>
                  <c:y val="5.092592592592592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602-41E4-97B6-82C7C972D7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'dados por anos'!$C$1:$H$1</c:f>
              <c:strCache>
                <c:ptCount val="6"/>
                <c:pt idx="0">
                  <c:v>Alfândega</c:v>
                </c:pt>
                <c:pt idx="1">
                  <c:v>Infraestrutura</c:v>
                </c:pt>
                <c:pt idx="2">
                  <c:v>Expedição internacional</c:v>
                </c:pt>
                <c:pt idx="3">
                  <c:v>Qualidade Serviços</c:v>
                </c:pt>
                <c:pt idx="4">
                  <c:v>Rastreio e Monitoramento</c:v>
                </c:pt>
                <c:pt idx="5">
                  <c:v>Pontualidade</c:v>
                </c:pt>
              </c:strCache>
            </c:strRef>
          </c:cat>
          <c:val>
            <c:numRef>
              <c:f>'dados por anos'!$C$16:$H$16</c:f>
              <c:numCache>
                <c:formatCode>0.00</c:formatCode>
                <c:ptCount val="6"/>
                <c:pt idx="0">
                  <c:v>0.40158832</c:v>
                </c:pt>
                <c:pt idx="1">
                  <c:v>0.73584576000000002</c:v>
                </c:pt>
                <c:pt idx="2">
                  <c:v>0.40581449999999997</c:v>
                </c:pt>
                <c:pt idx="3">
                  <c:v>0.68602534000000004</c:v>
                </c:pt>
                <c:pt idx="4">
                  <c:v>0.34175290000000003</c:v>
                </c:pt>
                <c:pt idx="5">
                  <c:v>0.56835760000000002</c:v>
                </c:pt>
              </c:numCache>
            </c:numRef>
          </c:val>
          <c:extLst xmlns:c16r2="http://schemas.microsoft.com/office/drawing/2015/06/chart">
            <c:ext xmlns:c16="http://schemas.microsoft.com/office/drawing/2014/chart" uri="{C3380CC4-5D6E-409C-BE32-E72D297353CC}">
              <c16:uniqueId val="{00000001-2602-41E4-97B6-82C7C972D789}"/>
            </c:ext>
          </c:extLst>
        </c:ser>
        <c:dLbls>
          <c:showLegendKey val="0"/>
          <c:showVal val="0"/>
          <c:showCatName val="0"/>
          <c:showSerName val="0"/>
          <c:showPercent val="0"/>
          <c:showBubbleSize val="0"/>
        </c:dLbls>
        <c:axId val="76296704"/>
        <c:axId val="197334080"/>
      </c:radarChart>
      <c:catAx>
        <c:axId val="76296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97334080"/>
        <c:crosses val="autoZero"/>
        <c:auto val="1"/>
        <c:lblAlgn val="ctr"/>
        <c:lblOffset val="100"/>
        <c:noMultiLvlLbl val="0"/>
      </c:catAx>
      <c:valAx>
        <c:axId val="19733408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762967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2"/>
          <c:order val="0"/>
          <c:tx>
            <c:strRef>
              <c:f>'dados por anos'!$B$19</c:f>
              <c:strCache>
                <c:ptCount val="1"/>
                <c:pt idx="0">
                  <c:v>LPI</c:v>
                </c:pt>
              </c:strCache>
            </c:strRef>
          </c:tx>
          <c:marker>
            <c:symbol val="none"/>
          </c:marker>
          <c:cat>
            <c:strRef>
              <c:f>'dados por anos'!$C$1:$H$1</c:f>
              <c:strCache>
                <c:ptCount val="6"/>
                <c:pt idx="0">
                  <c:v>Alfândega</c:v>
                </c:pt>
                <c:pt idx="1">
                  <c:v>Infraestrutura</c:v>
                </c:pt>
                <c:pt idx="2">
                  <c:v>Expedição internacional</c:v>
                </c:pt>
                <c:pt idx="3">
                  <c:v>Qualidade Serviços</c:v>
                </c:pt>
                <c:pt idx="4">
                  <c:v>Rastreio e Monitoramento</c:v>
                </c:pt>
                <c:pt idx="5">
                  <c:v>Pontualidade</c:v>
                </c:pt>
              </c:strCache>
            </c:strRef>
          </c:cat>
          <c:val>
            <c:numRef>
              <c:f>'dados por anos'!$C$19:$H$19</c:f>
              <c:numCache>
                <c:formatCode>0.00</c:formatCode>
                <c:ptCount val="6"/>
                <c:pt idx="0">
                  <c:v>0.40506334693877549</c:v>
                </c:pt>
                <c:pt idx="1">
                  <c:v>0.50184325714285705</c:v>
                </c:pt>
                <c:pt idx="2">
                  <c:v>0.45791836734693869</c:v>
                </c:pt>
                <c:pt idx="3">
                  <c:v>0.52294337142857128</c:v>
                </c:pt>
                <c:pt idx="4">
                  <c:v>0.50656286530612238</c:v>
                </c:pt>
                <c:pt idx="5">
                  <c:v>0.55305387755102042</c:v>
                </c:pt>
              </c:numCache>
            </c:numRef>
          </c:val>
          <c:extLst xmlns:c16r2="http://schemas.microsoft.com/office/drawing/2015/06/chart">
            <c:ext xmlns:c16="http://schemas.microsoft.com/office/drawing/2014/chart" uri="{C3380CC4-5D6E-409C-BE32-E72D297353CC}">
              <c16:uniqueId val="{00000000-F2D6-407D-AA8E-F74D7928C113}"/>
            </c:ext>
          </c:extLst>
        </c:ser>
        <c:ser>
          <c:idx val="3"/>
          <c:order val="1"/>
          <c:tx>
            <c:strRef>
              <c:f>'dados por anos'!$B$20</c:f>
              <c:strCache>
                <c:ptCount val="1"/>
                <c:pt idx="0">
                  <c:v>LPIw</c:v>
                </c:pt>
              </c:strCache>
            </c:strRef>
          </c:tx>
          <c:marker>
            <c:symbol val="none"/>
          </c:marker>
          <c:cat>
            <c:strRef>
              <c:f>'dados por anos'!$C$1:$H$1</c:f>
              <c:strCache>
                <c:ptCount val="6"/>
                <c:pt idx="0">
                  <c:v>Alfândega</c:v>
                </c:pt>
                <c:pt idx="1">
                  <c:v>Infraestrutura</c:v>
                </c:pt>
                <c:pt idx="2">
                  <c:v>Expedição internacional</c:v>
                </c:pt>
                <c:pt idx="3">
                  <c:v>Qualidade Serviços</c:v>
                </c:pt>
                <c:pt idx="4">
                  <c:v>Rastreio e Monitoramento</c:v>
                </c:pt>
                <c:pt idx="5">
                  <c:v>Pontualidade</c:v>
                </c:pt>
              </c:strCache>
            </c:strRef>
          </c:cat>
          <c:val>
            <c:numRef>
              <c:f>'dados por anos'!$C$20:$H$20</c:f>
              <c:numCache>
                <c:formatCode>0.00</c:formatCode>
                <c:ptCount val="6"/>
                <c:pt idx="0">
                  <c:v>0.39696207999999999</c:v>
                </c:pt>
                <c:pt idx="1">
                  <c:v>0.70258056000000002</c:v>
                </c:pt>
                <c:pt idx="2">
                  <c:v>0.36461749999999998</c:v>
                </c:pt>
                <c:pt idx="3">
                  <c:v>0.67111065999999997</c:v>
                </c:pt>
                <c:pt idx="4">
                  <c:v>0.30270220000000003</c:v>
                </c:pt>
                <c:pt idx="5">
                  <c:v>0.54199280000000005</c:v>
                </c:pt>
              </c:numCache>
            </c:numRef>
          </c:val>
          <c:extLst xmlns:c16r2="http://schemas.microsoft.com/office/drawing/2015/06/chart">
            <c:ext xmlns:c16="http://schemas.microsoft.com/office/drawing/2014/chart" uri="{C3380CC4-5D6E-409C-BE32-E72D297353CC}">
              <c16:uniqueId val="{00000001-F2D6-407D-AA8E-F74D7928C113}"/>
            </c:ext>
          </c:extLst>
        </c:ser>
        <c:ser>
          <c:idx val="0"/>
          <c:order val="2"/>
          <c:tx>
            <c:strRef>
              <c:f>'dados por anos'!$B$19</c:f>
              <c:strCache>
                <c:ptCount val="1"/>
                <c:pt idx="0">
                  <c:v>LPI</c:v>
                </c:pt>
              </c:strCache>
            </c:strRef>
          </c:tx>
          <c:spPr>
            <a:ln w="28575" cap="rnd">
              <a:solidFill>
                <a:schemeClr val="accent1"/>
              </a:solidFill>
              <a:round/>
            </a:ln>
            <a:effectLst/>
          </c:spPr>
          <c:marker>
            <c:symbol val="none"/>
          </c:marker>
          <c:dLbls>
            <c:dLbl>
              <c:idx val="0"/>
              <c:layout>
                <c:manualLayout>
                  <c:x val="-9.3731693028705331E-3"/>
                  <c:y val="3.856749311294765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2D6-407D-AA8E-F74D7928C113}"/>
                </c:ext>
              </c:extLst>
            </c:dLbl>
            <c:dLbl>
              <c:idx val="1"/>
              <c:layout>
                <c:manualLayout>
                  <c:x val="-4.9209138840070298E-2"/>
                  <c:y val="5.509641873278241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F2D6-407D-AA8E-F74D7928C113}"/>
                </c:ext>
              </c:extLst>
            </c:dLbl>
            <c:dLbl>
              <c:idx val="3"/>
              <c:layout>
                <c:manualLayout>
                  <c:x val="0"/>
                  <c:y val="-0.10912701396267264"/>
                </c:manualLayout>
              </c:layout>
              <c:showLegendKey val="0"/>
              <c:showVal val="1"/>
              <c:showCatName val="0"/>
              <c:showSerName val="0"/>
              <c:showPercent val="0"/>
              <c:showBubbleSize val="0"/>
            </c:dLbl>
            <c:dLbl>
              <c:idx val="5"/>
              <c:layout>
                <c:manualLayout>
                  <c:x val="-4.6865846514353099E-3"/>
                  <c:y val="2.203856749311289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F2D6-407D-AA8E-F74D7928C113}"/>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'dados por anos'!$C$1:$H$1</c:f>
              <c:strCache>
                <c:ptCount val="6"/>
                <c:pt idx="0">
                  <c:v>Alfândega</c:v>
                </c:pt>
                <c:pt idx="1">
                  <c:v>Infraestrutura</c:v>
                </c:pt>
                <c:pt idx="2">
                  <c:v>Expedição internacional</c:v>
                </c:pt>
                <c:pt idx="3">
                  <c:v>Qualidade Serviços</c:v>
                </c:pt>
                <c:pt idx="4">
                  <c:v>Rastreio e Monitoramento</c:v>
                </c:pt>
                <c:pt idx="5">
                  <c:v>Pontualidade</c:v>
                </c:pt>
              </c:strCache>
            </c:strRef>
          </c:cat>
          <c:val>
            <c:numRef>
              <c:f>'dados por anos'!$C$19:$H$19</c:f>
              <c:numCache>
                <c:formatCode>0.00</c:formatCode>
                <c:ptCount val="6"/>
                <c:pt idx="0">
                  <c:v>0.40506334693877549</c:v>
                </c:pt>
                <c:pt idx="1">
                  <c:v>0.50184325714285705</c:v>
                </c:pt>
                <c:pt idx="2">
                  <c:v>0.45791836734693869</c:v>
                </c:pt>
                <c:pt idx="3">
                  <c:v>0.52294337142857128</c:v>
                </c:pt>
                <c:pt idx="4">
                  <c:v>0.50656286530612238</c:v>
                </c:pt>
                <c:pt idx="5">
                  <c:v>0.55305387755102042</c:v>
                </c:pt>
              </c:numCache>
            </c:numRef>
          </c:val>
          <c:extLst xmlns:c16r2="http://schemas.microsoft.com/office/drawing/2015/06/chart">
            <c:ext xmlns:c16="http://schemas.microsoft.com/office/drawing/2014/chart" uri="{C3380CC4-5D6E-409C-BE32-E72D297353CC}">
              <c16:uniqueId val="{00000002-F2D6-407D-AA8E-F74D7928C113}"/>
            </c:ext>
          </c:extLst>
        </c:ser>
        <c:ser>
          <c:idx val="1"/>
          <c:order val="3"/>
          <c:tx>
            <c:strRef>
              <c:f>'dados por anos'!$B$20</c:f>
              <c:strCache>
                <c:ptCount val="1"/>
                <c:pt idx="0">
                  <c:v>LPIw</c:v>
                </c:pt>
              </c:strCache>
            </c:strRef>
          </c:tx>
          <c:spPr>
            <a:ln w="28575" cap="rnd">
              <a:solidFill>
                <a:schemeClr val="accent2"/>
              </a:solidFill>
              <a:round/>
            </a:ln>
            <a:effectLst/>
          </c:spPr>
          <c:marker>
            <c:symbol val="none"/>
          </c:marker>
          <c:dLbls>
            <c:dLbl>
              <c:idx val="0"/>
              <c:layout>
                <c:manualLayout>
                  <c:x val="-2.3432923257176333E-3"/>
                  <c:y val="9.917355371900826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F2D6-407D-AA8E-F74D7928C113}"/>
                </c:ext>
              </c:extLst>
            </c:dLbl>
            <c:dLbl>
              <c:idx val="1"/>
              <c:layout>
                <c:manualLayout>
                  <c:x val="-2.8119507908611598E-2"/>
                  <c:y val="-2.20385674931129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2D6-407D-AA8E-F74D7928C113}"/>
                </c:ext>
              </c:extLst>
            </c:dLbl>
            <c:dLbl>
              <c:idx val="2"/>
              <c:layout>
                <c:manualLayout>
                  <c:x val="-5.6239015817223195E-2"/>
                  <c:y val="-3.305785123966942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2D6-407D-AA8E-F74D7928C113}"/>
                </c:ext>
              </c:extLst>
            </c:dLbl>
            <c:dLbl>
              <c:idx val="3"/>
              <c:layout>
                <c:manualLayout>
                  <c:x val="1.4059753954305799E-2"/>
                  <c:y val="-2.203856749311304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2D6-407D-AA8E-F74D7928C113}"/>
                </c:ext>
              </c:extLst>
            </c:dLbl>
            <c:dLbl>
              <c:idx val="4"/>
              <c:layout>
                <c:manualLayout>
                  <c:x val="5.1552431165787935E-2"/>
                  <c:y val="-5.50964187327824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2D6-407D-AA8E-F74D7928C113}"/>
                </c:ext>
              </c:extLst>
            </c:dLbl>
            <c:dLbl>
              <c:idx val="5"/>
              <c:layout>
                <c:manualLayout>
                  <c:x val="5.3895723491505565E-2"/>
                  <c:y val="5.509641873278232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F2D6-407D-AA8E-F74D7928C113}"/>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'dados por anos'!$C$1:$H$1</c:f>
              <c:strCache>
                <c:ptCount val="6"/>
                <c:pt idx="0">
                  <c:v>Alfândega</c:v>
                </c:pt>
                <c:pt idx="1">
                  <c:v>Infraestrutura</c:v>
                </c:pt>
                <c:pt idx="2">
                  <c:v>Expedição internacional</c:v>
                </c:pt>
                <c:pt idx="3">
                  <c:v>Qualidade Serviços</c:v>
                </c:pt>
                <c:pt idx="4">
                  <c:v>Rastreio e Monitoramento</c:v>
                </c:pt>
                <c:pt idx="5">
                  <c:v>Pontualidade</c:v>
                </c:pt>
              </c:strCache>
            </c:strRef>
          </c:cat>
          <c:val>
            <c:numRef>
              <c:f>'dados por anos'!$C$20:$H$20</c:f>
              <c:numCache>
                <c:formatCode>0.00</c:formatCode>
                <c:ptCount val="6"/>
                <c:pt idx="0">
                  <c:v>0.39696207999999999</c:v>
                </c:pt>
                <c:pt idx="1">
                  <c:v>0.70258056000000002</c:v>
                </c:pt>
                <c:pt idx="2">
                  <c:v>0.36461749999999998</c:v>
                </c:pt>
                <c:pt idx="3">
                  <c:v>0.67111065999999997</c:v>
                </c:pt>
                <c:pt idx="4">
                  <c:v>0.30270220000000003</c:v>
                </c:pt>
                <c:pt idx="5">
                  <c:v>0.54199280000000005</c:v>
                </c:pt>
              </c:numCache>
            </c:numRef>
          </c:val>
          <c:extLst xmlns:c16r2="http://schemas.microsoft.com/office/drawing/2015/06/chart">
            <c:ext xmlns:c16="http://schemas.microsoft.com/office/drawing/2014/chart" uri="{C3380CC4-5D6E-409C-BE32-E72D297353CC}">
              <c16:uniqueId val="{00000003-F2D6-407D-AA8E-F74D7928C113}"/>
            </c:ext>
          </c:extLst>
        </c:ser>
        <c:dLbls>
          <c:showLegendKey val="0"/>
          <c:showVal val="0"/>
          <c:showCatName val="0"/>
          <c:showSerName val="0"/>
          <c:showPercent val="0"/>
          <c:showBubbleSize val="0"/>
        </c:dLbls>
        <c:axId val="76298240"/>
        <c:axId val="197336384"/>
      </c:radarChart>
      <c:catAx>
        <c:axId val="76298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97336384"/>
        <c:crosses val="autoZero"/>
        <c:auto val="1"/>
        <c:lblAlgn val="ctr"/>
        <c:lblOffset val="100"/>
        <c:noMultiLvlLbl val="0"/>
      </c:catAx>
      <c:valAx>
        <c:axId val="19733638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76298240"/>
        <c:crosses val="autoZero"/>
        <c:crossBetween val="between"/>
      </c:valAx>
    </c:plotArea>
    <c:legend>
      <c:legendPos val="t"/>
      <c:legendEntry>
        <c:idx val="0"/>
        <c:delete val="1"/>
      </c:legendEntry>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txPr>
    <a:bodyPr/>
    <a:lstStyle/>
    <a:p>
      <a:pPr>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'dados por anos'!$B$23</c:f>
              <c:strCache>
                <c:ptCount val="1"/>
                <c:pt idx="0">
                  <c:v>LPI</c:v>
                </c:pt>
              </c:strCache>
            </c:strRef>
          </c:tx>
          <c:spPr>
            <a:ln w="28575" cap="rnd">
              <a:solidFill>
                <a:schemeClr val="accent1"/>
              </a:solidFill>
              <a:round/>
            </a:ln>
            <a:effectLst/>
          </c:spPr>
          <c:marker>
            <c:symbol val="none"/>
          </c:marker>
          <c:dLbls>
            <c:dLbl>
              <c:idx val="1"/>
              <c:layout>
                <c:manualLayout>
                  <c:x val="-4.4600938967136149E-2"/>
                  <c:y val="4.577968526466386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A74-480C-8B9C-F0095E2CB196}"/>
                </c:ext>
              </c:extLst>
            </c:dLbl>
            <c:dLbl>
              <c:idx val="3"/>
              <c:layout>
                <c:manualLayout>
                  <c:x val="0"/>
                  <c:y val="-0.1030042918454936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A74-480C-8B9C-F0095E2CB19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'dados por anos'!$C$1:$H$1</c:f>
              <c:strCache>
                <c:ptCount val="6"/>
                <c:pt idx="0">
                  <c:v>Alfândega</c:v>
                </c:pt>
                <c:pt idx="1">
                  <c:v>Infraestrutura</c:v>
                </c:pt>
                <c:pt idx="2">
                  <c:v>Expedição internacional</c:v>
                </c:pt>
                <c:pt idx="3">
                  <c:v>Qualidade Serviços</c:v>
                </c:pt>
                <c:pt idx="4">
                  <c:v>Rastreio e Monitoramento</c:v>
                </c:pt>
                <c:pt idx="5">
                  <c:v>Pontualidade</c:v>
                </c:pt>
              </c:strCache>
            </c:strRef>
          </c:cat>
          <c:val>
            <c:numRef>
              <c:f>'dados por anos'!$C$23:$H$23</c:f>
              <c:numCache>
                <c:formatCode>0.00</c:formatCode>
                <c:ptCount val="6"/>
                <c:pt idx="0">
                  <c:v>0.45015248979591838</c:v>
                </c:pt>
                <c:pt idx="1">
                  <c:v>0.53318708571428564</c:v>
                </c:pt>
                <c:pt idx="2">
                  <c:v>0.47329502040816324</c:v>
                </c:pt>
                <c:pt idx="3">
                  <c:v>0.53531074285714275</c:v>
                </c:pt>
                <c:pt idx="4">
                  <c:v>0.54893092653061215</c:v>
                </c:pt>
                <c:pt idx="5">
                  <c:v>0.55378726530612243</c:v>
                </c:pt>
              </c:numCache>
            </c:numRef>
          </c:val>
          <c:extLst xmlns:c16r2="http://schemas.microsoft.com/office/drawing/2015/06/chart">
            <c:ext xmlns:c16="http://schemas.microsoft.com/office/drawing/2014/chart" uri="{C3380CC4-5D6E-409C-BE32-E72D297353CC}">
              <c16:uniqueId val="{00000000-CA74-480C-8B9C-F0095E2CB196}"/>
            </c:ext>
          </c:extLst>
        </c:ser>
        <c:ser>
          <c:idx val="1"/>
          <c:order val="1"/>
          <c:tx>
            <c:strRef>
              <c:f>'dados por anos'!$B$24</c:f>
              <c:strCache>
                <c:ptCount val="1"/>
                <c:pt idx="0">
                  <c:v>LPIw</c:v>
                </c:pt>
              </c:strCache>
            </c:strRef>
          </c:tx>
          <c:spPr>
            <a:ln w="28575" cap="rnd">
              <a:solidFill>
                <a:schemeClr val="accent2"/>
              </a:solidFill>
              <a:round/>
            </a:ln>
            <a:effectLst/>
          </c:spPr>
          <c:marker>
            <c:symbol val="none"/>
          </c:marker>
          <c:dLbls>
            <c:dLbl>
              <c:idx val="0"/>
              <c:layout>
                <c:manualLayout>
                  <c:x val="0"/>
                  <c:y val="0.1258941344778254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A74-480C-8B9C-F0095E2CB196}"/>
                </c:ext>
              </c:extLst>
            </c:dLbl>
            <c:dLbl>
              <c:idx val="1"/>
              <c:layout>
                <c:manualLayout>
                  <c:x val="7.0422535211267607E-3"/>
                  <c:y val="8.583690987124457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A74-480C-8B9C-F0095E2CB196}"/>
                </c:ext>
              </c:extLst>
            </c:dLbl>
            <c:dLbl>
              <c:idx val="2"/>
              <c:layout>
                <c:manualLayout>
                  <c:x val="-5.6338028169014169E-2"/>
                  <c:y val="-4.577968526466380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A74-480C-8B9C-F0095E2CB196}"/>
                </c:ext>
              </c:extLst>
            </c:dLbl>
            <c:dLbl>
              <c:idx val="3"/>
              <c:layout>
                <c:manualLayout>
                  <c:x val="0"/>
                  <c:y val="-2.6609898882384443E-2"/>
                </c:manualLayout>
              </c:layout>
              <c:showLegendKey val="0"/>
              <c:showVal val="1"/>
              <c:showCatName val="0"/>
              <c:showSerName val="0"/>
              <c:showPercent val="0"/>
              <c:showBubbleSize val="0"/>
            </c:dLbl>
            <c:dLbl>
              <c:idx val="4"/>
              <c:layout>
                <c:manualLayout>
                  <c:x val="4.9295774647887321E-2"/>
                  <c:y val="-1.0491056679570123E-1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A74-480C-8B9C-F0095E2CB196}"/>
                </c:ext>
              </c:extLst>
            </c:dLbl>
            <c:dLbl>
              <c:idx val="5"/>
              <c:layout>
                <c:manualLayout>
                  <c:x val="5.1643192488262914E-2"/>
                  <c:y val="6.866952789699570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A74-480C-8B9C-F0095E2CB19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'dados por anos'!$C$1:$H$1</c:f>
              <c:strCache>
                <c:ptCount val="6"/>
                <c:pt idx="0">
                  <c:v>Alfândega</c:v>
                </c:pt>
                <c:pt idx="1">
                  <c:v>Infraestrutura</c:v>
                </c:pt>
                <c:pt idx="2">
                  <c:v>Expedição internacional</c:v>
                </c:pt>
                <c:pt idx="3">
                  <c:v>Qualidade Serviços</c:v>
                </c:pt>
                <c:pt idx="4">
                  <c:v>Rastreio e Monitoramento</c:v>
                </c:pt>
                <c:pt idx="5">
                  <c:v>Pontualidade</c:v>
                </c:pt>
              </c:strCache>
            </c:strRef>
          </c:cat>
          <c:val>
            <c:numRef>
              <c:f>'dados por anos'!$C$24:$H$24</c:f>
              <c:numCache>
                <c:formatCode>0.00</c:formatCode>
                <c:ptCount val="6"/>
                <c:pt idx="0">
                  <c:v>0.44114944</c:v>
                </c:pt>
                <c:pt idx="1">
                  <c:v>0.74646192</c:v>
                </c:pt>
                <c:pt idx="2">
                  <c:v>0.37686115999999997</c:v>
                </c:pt>
                <c:pt idx="3">
                  <c:v>0.68698212000000003</c:v>
                </c:pt>
                <c:pt idx="4">
                  <c:v>0.32801970000000003</c:v>
                </c:pt>
                <c:pt idx="5">
                  <c:v>0.54271152</c:v>
                </c:pt>
              </c:numCache>
            </c:numRef>
          </c:val>
          <c:extLst xmlns:c16r2="http://schemas.microsoft.com/office/drawing/2015/06/chart">
            <c:ext xmlns:c16="http://schemas.microsoft.com/office/drawing/2014/chart" uri="{C3380CC4-5D6E-409C-BE32-E72D297353CC}">
              <c16:uniqueId val="{00000001-CA74-480C-8B9C-F0095E2CB196}"/>
            </c:ext>
          </c:extLst>
        </c:ser>
        <c:dLbls>
          <c:showLegendKey val="0"/>
          <c:showVal val="0"/>
          <c:showCatName val="0"/>
          <c:showSerName val="0"/>
          <c:showPercent val="0"/>
          <c:showBubbleSize val="0"/>
        </c:dLbls>
        <c:axId val="99052032"/>
        <c:axId val="205371584"/>
      </c:radarChart>
      <c:catAx>
        <c:axId val="99052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05371584"/>
        <c:crosses val="autoZero"/>
        <c:auto val="1"/>
        <c:lblAlgn val="ctr"/>
        <c:lblOffset val="100"/>
        <c:noMultiLvlLbl val="0"/>
      </c:catAx>
      <c:valAx>
        <c:axId val="20537158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90520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'dados por anos'!$B$27</c:f>
              <c:strCache>
                <c:ptCount val="1"/>
                <c:pt idx="0">
                  <c:v>LPI</c:v>
                </c:pt>
              </c:strCache>
            </c:strRef>
          </c:tx>
          <c:spPr>
            <a:ln w="28575" cap="rnd">
              <a:solidFill>
                <a:schemeClr val="accent1"/>
              </a:solidFill>
              <a:round/>
            </a:ln>
            <a:effectLst/>
          </c:spPr>
          <c:marker>
            <c:symbol val="none"/>
          </c:marker>
          <c:dLbls>
            <c:dLbl>
              <c:idx val="0"/>
              <c:layout>
                <c:manualLayout>
                  <c:x val="-8.6222793874421115E-17"/>
                  <c:y val="5.952380952380952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56F-4557-A397-D109B58FEB6E}"/>
                </c:ext>
              </c:extLst>
            </c:dLbl>
            <c:dLbl>
              <c:idx val="1"/>
              <c:layout>
                <c:manualLayout>
                  <c:x val="-3.5273368606701938E-2"/>
                  <c:y val="5.952380952380947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E56F-4557-A397-D109B58FEB6E}"/>
                </c:ext>
              </c:extLst>
            </c:dLbl>
            <c:dLbl>
              <c:idx val="2"/>
              <c:layout>
                <c:manualLayout>
                  <c:x val="-2.3515579071134627E-3"/>
                  <c:y val="1.190476190476190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56F-4557-A397-D109B58FEB6E}"/>
                </c:ext>
              </c:extLst>
            </c:dLbl>
            <c:dLbl>
              <c:idx val="3"/>
              <c:layout>
                <c:manualLayout>
                  <c:x val="0"/>
                  <c:y val="-0.1374109761206535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56F-4557-A397-D109B58FEB6E}"/>
                </c:ext>
              </c:extLst>
            </c:dLbl>
            <c:dLbl>
              <c:idx val="5"/>
              <c:layout>
                <c:manualLayout>
                  <c:x val="4.3111396937210558E-17"/>
                  <c:y val="5.952380952380897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56F-4557-A397-D109B58FEB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'dados por anos'!$C$1:$H$1</c:f>
              <c:strCache>
                <c:ptCount val="6"/>
                <c:pt idx="0">
                  <c:v>Alfândega</c:v>
                </c:pt>
                <c:pt idx="1">
                  <c:v>Infraestrutura</c:v>
                </c:pt>
                <c:pt idx="2">
                  <c:v>Expedição internacional</c:v>
                </c:pt>
                <c:pt idx="3">
                  <c:v>Qualidade Serviços</c:v>
                </c:pt>
                <c:pt idx="4">
                  <c:v>Rastreio e Monitoramento</c:v>
                </c:pt>
                <c:pt idx="5">
                  <c:v>Pontualidade</c:v>
                </c:pt>
              </c:strCache>
            </c:strRef>
          </c:cat>
          <c:val>
            <c:numRef>
              <c:f>'dados por anos'!$C$27:$H$27</c:f>
              <c:numCache>
                <c:formatCode>0.00</c:formatCode>
                <c:ptCount val="6"/>
                <c:pt idx="0">
                  <c:v>0.39284277551020408</c:v>
                </c:pt>
                <c:pt idx="1">
                  <c:v>0.50176851428571423</c:v>
                </c:pt>
                <c:pt idx="2">
                  <c:v>0.47038220408163262</c:v>
                </c:pt>
                <c:pt idx="3">
                  <c:v>0.5297422285714285</c:v>
                </c:pt>
                <c:pt idx="4">
                  <c:v>0.52068962448979583</c:v>
                </c:pt>
                <c:pt idx="5">
                  <c:v>0.57309028571428566</c:v>
                </c:pt>
              </c:numCache>
            </c:numRef>
          </c:val>
          <c:extLst xmlns:c16r2="http://schemas.microsoft.com/office/drawing/2015/06/chart">
            <c:ext xmlns:c16="http://schemas.microsoft.com/office/drawing/2014/chart" uri="{C3380CC4-5D6E-409C-BE32-E72D297353CC}">
              <c16:uniqueId val="{00000000-E56F-4557-A397-D109B58FEB6E}"/>
            </c:ext>
          </c:extLst>
        </c:ser>
        <c:ser>
          <c:idx val="1"/>
          <c:order val="1"/>
          <c:tx>
            <c:strRef>
              <c:f>'dados por anos'!$B$28</c:f>
              <c:strCache>
                <c:ptCount val="1"/>
                <c:pt idx="0">
                  <c:v>LPIw</c:v>
                </c:pt>
              </c:strCache>
            </c:strRef>
          </c:tx>
          <c:spPr>
            <a:ln w="28575" cap="rnd">
              <a:solidFill>
                <a:schemeClr val="accent2"/>
              </a:solidFill>
              <a:round/>
            </a:ln>
            <a:effectLst/>
          </c:spPr>
          <c:marker>
            <c:symbol val="none"/>
          </c:marker>
          <c:dLbls>
            <c:dLbl>
              <c:idx val="0"/>
              <c:layout>
                <c:manualLayout>
                  <c:x val="0"/>
                  <c:y val="0.1071428571428571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E56F-4557-A397-D109B58FEB6E}"/>
                </c:ext>
              </c:extLst>
            </c:dLbl>
            <c:dLbl>
              <c:idx val="1"/>
              <c:layout>
                <c:manualLayout>
                  <c:x val="2.3515579071133764E-3"/>
                  <c:y val="5.35714285714285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56F-4557-A397-D109B58FEB6E}"/>
                </c:ext>
              </c:extLst>
            </c:dLbl>
            <c:dLbl>
              <c:idx val="2"/>
              <c:layout>
                <c:manualLayout>
                  <c:x val="-4.7031158142269255E-2"/>
                  <c:y val="-2.9761904761904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56F-4557-A397-D109B58FEB6E}"/>
                </c:ext>
              </c:extLst>
            </c:dLbl>
            <c:dLbl>
              <c:idx val="3"/>
              <c:layout>
                <c:manualLayout>
                  <c:x val="-8.0691556107168969E-17"/>
                  <c:y val="-2.1390374331550801E-2"/>
                </c:manualLayout>
              </c:layout>
              <c:showLegendKey val="0"/>
              <c:showVal val="1"/>
              <c:showCatName val="0"/>
              <c:showSerName val="0"/>
              <c:showPercent val="0"/>
              <c:showBubbleSize val="0"/>
            </c:dLbl>
            <c:dLbl>
              <c:idx val="4"/>
              <c:layout>
                <c:manualLayout>
                  <c:x val="4.4679600235155791E-2"/>
                  <c:y val="-2.976190476190487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56F-4557-A397-D109B58FEB6E}"/>
                </c:ext>
              </c:extLst>
            </c:dLbl>
            <c:dLbl>
              <c:idx val="5"/>
              <c:layout>
                <c:manualLayout>
                  <c:x val="4.4679600235155791E-2"/>
                  <c:y val="5.3571428571428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56F-4557-A397-D109B58FEB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'dados por anos'!$C$1:$H$1</c:f>
              <c:strCache>
                <c:ptCount val="6"/>
                <c:pt idx="0">
                  <c:v>Alfândega</c:v>
                </c:pt>
                <c:pt idx="1">
                  <c:v>Infraestrutura</c:v>
                </c:pt>
                <c:pt idx="2">
                  <c:v>Expedição internacional</c:v>
                </c:pt>
                <c:pt idx="3">
                  <c:v>Qualidade Serviços</c:v>
                </c:pt>
                <c:pt idx="4">
                  <c:v>Rastreio e Monitoramento</c:v>
                </c:pt>
                <c:pt idx="5">
                  <c:v>Pontualidade</c:v>
                </c:pt>
              </c:strCache>
            </c:strRef>
          </c:cat>
          <c:val>
            <c:numRef>
              <c:f>'dados por anos'!$C$28:$H$28</c:f>
              <c:numCache>
                <c:formatCode>0.00</c:formatCode>
                <c:ptCount val="6"/>
                <c:pt idx="0">
                  <c:v>0.38498592000000004</c:v>
                </c:pt>
                <c:pt idx="1">
                  <c:v>0.70247591999999992</c:v>
                </c:pt>
                <c:pt idx="2">
                  <c:v>0.37454183000000002</c:v>
                </c:pt>
                <c:pt idx="3">
                  <c:v>0.67983585999999996</c:v>
                </c:pt>
                <c:pt idx="4">
                  <c:v>0.31114380000000003</c:v>
                </c:pt>
                <c:pt idx="5">
                  <c:v>0.56162847999999999</c:v>
                </c:pt>
              </c:numCache>
            </c:numRef>
          </c:val>
          <c:extLst xmlns:c16r2="http://schemas.microsoft.com/office/drawing/2015/06/chart">
            <c:ext xmlns:c16="http://schemas.microsoft.com/office/drawing/2014/chart" uri="{C3380CC4-5D6E-409C-BE32-E72D297353CC}">
              <c16:uniqueId val="{00000001-E56F-4557-A397-D109B58FEB6E}"/>
            </c:ext>
          </c:extLst>
        </c:ser>
        <c:dLbls>
          <c:showLegendKey val="0"/>
          <c:showVal val="0"/>
          <c:showCatName val="0"/>
          <c:showSerName val="0"/>
          <c:showPercent val="0"/>
          <c:showBubbleSize val="0"/>
        </c:dLbls>
        <c:axId val="76299264"/>
        <c:axId val="205383360"/>
      </c:radarChart>
      <c:catAx>
        <c:axId val="76299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05383360"/>
        <c:crosses val="autoZero"/>
        <c:auto val="1"/>
        <c:lblAlgn val="ctr"/>
        <c:lblOffset val="100"/>
        <c:noMultiLvlLbl val="0"/>
      </c:catAx>
      <c:valAx>
        <c:axId val="20538336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762992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036CC-0C88-4F82-B14A-84D2FCA0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19</Pages>
  <Words>6276</Words>
  <Characters>33891</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\newcommand{\exacta}{Revista  Eletr\^onica \textbf{e-xacta}, do Departamento de Ci\^encias Exatas e Tecnologia do Centro Univer</vt:lpstr>
    </vt:vector>
  </TitlesOfParts>
  <Company>BJPE</Company>
  <LinksUpToDate>false</LinksUpToDate>
  <CharactersWithSpaces>40087</CharactersWithSpaces>
  <SharedDoc>false</SharedDoc>
  <HyperlinkBase/>
  <HLinks>
    <vt:vector size="24" baseType="variant">
      <vt:variant>
        <vt:i4>5308487</vt:i4>
      </vt:variant>
      <vt:variant>
        <vt:i4>12</vt:i4>
      </vt:variant>
      <vt:variant>
        <vt:i4>0</vt:i4>
      </vt:variant>
      <vt:variant>
        <vt:i4>5</vt:i4>
      </vt:variant>
      <vt:variant>
        <vt:lpwstr>http://www.ibict.br/informacao-para-ciencia-tecnologia-e-inovacao /centro-brasileiro-do-issn</vt:lpwstr>
      </vt:variant>
      <vt:variant>
        <vt:lpwstr/>
      </vt:variant>
      <vt:variant>
        <vt:i4>131110</vt:i4>
      </vt:variant>
      <vt:variant>
        <vt:i4>6</vt:i4>
      </vt:variant>
      <vt:variant>
        <vt:i4>0</vt:i4>
      </vt:variant>
      <vt:variant>
        <vt:i4>5</vt:i4>
      </vt:variant>
      <vt:variant>
        <vt:lpwstr>mailto:exacta@unibh.br</vt:lpwstr>
      </vt:variant>
      <vt:variant>
        <vt:lpwstr/>
      </vt:variant>
      <vt:variant>
        <vt:i4>4587587</vt:i4>
      </vt:variant>
      <vt:variant>
        <vt:i4>3</vt:i4>
      </vt:variant>
      <vt:variant>
        <vt:i4>0</vt:i4>
      </vt:variant>
      <vt:variant>
        <vt:i4>5</vt:i4>
      </vt:variant>
      <vt:variant>
        <vt:lpwstr>http://www.unibh.br/revistas/exacta/</vt:lpwstr>
      </vt:variant>
      <vt:variant>
        <vt:lpwstr/>
      </vt:variant>
      <vt:variant>
        <vt:i4>4587587</vt:i4>
      </vt:variant>
      <vt:variant>
        <vt:i4>0</vt:i4>
      </vt:variant>
      <vt:variant>
        <vt:i4>0</vt:i4>
      </vt:variant>
      <vt:variant>
        <vt:i4>5</vt:i4>
      </vt:variant>
      <vt:variant>
        <vt:lpwstr>http://www.unibh.br/revistas/exacta/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\newcommand{\exacta}{Revista  Eletr\^onica \textbf{e-xacta}, do Departamento de Ci\^encias Exatas e Tecnologia do Centro Univer</dc:title>
  <dc:creator>BJPE</dc:creator>
  <cp:lastModifiedBy>Edna Gessner</cp:lastModifiedBy>
  <cp:revision>15</cp:revision>
  <cp:lastPrinted>2018-08-07T19:10:00Z</cp:lastPrinted>
  <dcterms:created xsi:type="dcterms:W3CDTF">2018-10-01T13:17:00Z</dcterms:created>
  <dcterms:modified xsi:type="dcterms:W3CDTF">2018-10-01T17:29:00Z</dcterms:modified>
</cp:coreProperties>
</file>