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pPr w:leftFromText="141" w:rightFromText="141" w:vertAnchor="text" w:horzAnchor="page" w:tblpX="1570" w:tblpY="-359"/>
        <w:tblW w:w="9039" w:type="dxa"/>
        <w:tblBorders>
          <w:bottom w:val="single" w:sz="4" w:space="0" w:color="auto"/>
        </w:tblBorders>
        <w:tblLook w:val="04A0" w:firstRow="1" w:lastRow="0" w:firstColumn="1" w:lastColumn="0" w:noHBand="0" w:noVBand="1"/>
      </w:tblPr>
      <w:tblGrid>
        <w:gridCol w:w="2052"/>
        <w:gridCol w:w="6987"/>
      </w:tblGrid>
      <w:tr w:rsidR="006B56D4" w:rsidRPr="006B56D4" w14:paraId="54A0E3F1" w14:textId="77777777" w:rsidTr="00397D4A">
        <w:trPr>
          <w:trHeight w:val="1276"/>
        </w:trPr>
        <w:tc>
          <w:tcPr>
            <w:tcW w:w="2052" w:type="dxa"/>
            <w:tcBorders>
              <w:top w:val="nil"/>
              <w:left w:val="nil"/>
              <w:bottom w:val="single" w:sz="4" w:space="0" w:color="auto"/>
              <w:right w:val="nil"/>
            </w:tcBorders>
            <w:hideMark/>
          </w:tcPr>
          <w:p w14:paraId="0119A4BD" w14:textId="77777777" w:rsidR="006B56D4" w:rsidRPr="006B56D4" w:rsidRDefault="006B56D4" w:rsidP="006B56D4">
            <w:pPr>
              <w:widowControl/>
              <w:spacing w:after="0" w:line="240" w:lineRule="auto"/>
              <w:rPr>
                <w:rFonts w:ascii="Calibri" w:eastAsia="Calibri" w:hAnsi="Calibri" w:cs="Arial"/>
                <w:b/>
                <w:sz w:val="32"/>
                <w:szCs w:val="28"/>
                <w:lang w:val="en-GB" w:eastAsia="en-US"/>
              </w:rPr>
            </w:pPr>
            <w:bookmarkStart w:id="0" w:name="_Hlk515623666"/>
            <w:bookmarkStart w:id="1" w:name="_Hlk515628339"/>
            <w:r w:rsidRPr="006B56D4">
              <w:rPr>
                <w:rFonts w:ascii="Calibri" w:eastAsia="Calibri" w:hAnsi="Calibri" w:cs="Arial"/>
                <w:noProof/>
                <w:sz w:val="22"/>
                <w:szCs w:val="22"/>
                <w:lang w:val="en-GB" w:eastAsia="en-GB"/>
              </w:rPr>
              <w:drawing>
                <wp:inline distT="0" distB="0" distL="0" distR="0" wp14:anchorId="5A55C305" wp14:editId="27278783">
                  <wp:extent cx="1166112" cy="1057275"/>
                  <wp:effectExtent l="0" t="0" r="0" b="0"/>
                  <wp:docPr id="1" name="Imagem 1" descr="C:\Users\207979\AppData\Local\Microsoft\Windows\Temporary Internet Files\Content.IE5\BGD4IZF9\logoENPS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C:\Users\207979\AppData\Local\Microsoft\Windows\Temporary Internet Files\Content.IE5\BGD4IZF9\logoENPS20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6593" cy="1066778"/>
                          </a:xfrm>
                          <a:prstGeom prst="rect">
                            <a:avLst/>
                          </a:prstGeom>
                          <a:noFill/>
                          <a:ln>
                            <a:noFill/>
                          </a:ln>
                        </pic:spPr>
                      </pic:pic>
                    </a:graphicData>
                  </a:graphic>
                </wp:inline>
              </w:drawing>
            </w:r>
          </w:p>
        </w:tc>
        <w:tc>
          <w:tcPr>
            <w:tcW w:w="6987" w:type="dxa"/>
            <w:tcBorders>
              <w:top w:val="nil"/>
              <w:left w:val="nil"/>
              <w:bottom w:val="single" w:sz="4" w:space="0" w:color="auto"/>
              <w:right w:val="nil"/>
            </w:tcBorders>
          </w:tcPr>
          <w:p w14:paraId="4FD18DEC" w14:textId="77777777" w:rsidR="006B56D4" w:rsidRPr="006B56D4" w:rsidRDefault="006B56D4" w:rsidP="006B56D4">
            <w:pPr>
              <w:widowControl/>
              <w:spacing w:after="0" w:line="240" w:lineRule="auto"/>
              <w:jc w:val="center"/>
              <w:rPr>
                <w:rFonts w:ascii="Arial Rounded MT Bold" w:eastAsia="Calibri" w:hAnsi="Arial Rounded MT Bold" w:cs="Arial"/>
                <w:b/>
                <w:sz w:val="28"/>
                <w:szCs w:val="28"/>
                <w:lang w:eastAsia="en-US"/>
              </w:rPr>
            </w:pPr>
            <w:r w:rsidRPr="006B56D4">
              <w:rPr>
                <w:rFonts w:ascii="Arial Rounded MT Bold" w:eastAsia="Calibri" w:hAnsi="Arial Rounded MT Bold" w:cs="Arial"/>
                <w:b/>
                <w:sz w:val="28"/>
                <w:szCs w:val="28"/>
                <w:lang w:eastAsia="en-US"/>
              </w:rPr>
              <w:t>11º Encontro Internacional de Política Social</w:t>
            </w:r>
          </w:p>
          <w:p w14:paraId="353E7778" w14:textId="77777777" w:rsidR="006B56D4" w:rsidRPr="006B56D4" w:rsidRDefault="006B56D4" w:rsidP="006B56D4">
            <w:pPr>
              <w:widowControl/>
              <w:spacing w:after="0" w:line="240" w:lineRule="auto"/>
              <w:jc w:val="center"/>
              <w:rPr>
                <w:rFonts w:ascii="Arial Rounded MT Bold" w:eastAsia="Calibri" w:hAnsi="Arial Rounded MT Bold" w:cs="Arial"/>
                <w:b/>
                <w:sz w:val="28"/>
                <w:szCs w:val="28"/>
                <w:lang w:eastAsia="en-US"/>
              </w:rPr>
            </w:pPr>
            <w:r w:rsidRPr="006B56D4">
              <w:rPr>
                <w:rFonts w:ascii="Arial Rounded MT Bold" w:eastAsia="Calibri" w:hAnsi="Arial Rounded MT Bold" w:cs="Arial"/>
                <w:b/>
                <w:sz w:val="28"/>
                <w:szCs w:val="28"/>
                <w:lang w:eastAsia="en-US"/>
              </w:rPr>
              <w:t>18º Encontro Nacional de Política Social</w:t>
            </w:r>
          </w:p>
          <w:p w14:paraId="387A08A4" w14:textId="77777777" w:rsidR="006B56D4" w:rsidRPr="006B56D4" w:rsidRDefault="006B56D4" w:rsidP="006B56D4">
            <w:pPr>
              <w:widowControl/>
              <w:tabs>
                <w:tab w:val="center" w:pos="1320"/>
                <w:tab w:val="center" w:pos="5255"/>
              </w:tabs>
              <w:spacing w:after="0" w:line="240" w:lineRule="auto"/>
              <w:jc w:val="center"/>
              <w:rPr>
                <w:rFonts w:ascii="Calibri" w:eastAsia="Calibri" w:hAnsi="Calibri" w:cs="Arial"/>
                <w:b/>
                <w:lang w:eastAsia="en-US"/>
              </w:rPr>
            </w:pPr>
            <w:r w:rsidRPr="006B56D4">
              <w:rPr>
                <w:rFonts w:ascii="Calibri" w:eastAsia="Calibri" w:hAnsi="Calibri" w:cs="Arial"/>
                <w:b/>
                <w:lang w:eastAsia="en-US"/>
              </w:rPr>
              <w:t xml:space="preserve">Tema: Entre o capital e a vida: questão social, </w:t>
            </w:r>
          </w:p>
          <w:p w14:paraId="3CAA5172" w14:textId="77777777" w:rsidR="006B56D4" w:rsidRPr="006B56D4" w:rsidRDefault="006B56D4" w:rsidP="006B56D4">
            <w:pPr>
              <w:widowControl/>
              <w:tabs>
                <w:tab w:val="center" w:pos="1320"/>
                <w:tab w:val="center" w:pos="5255"/>
              </w:tabs>
              <w:spacing w:after="0" w:line="240" w:lineRule="auto"/>
              <w:jc w:val="center"/>
              <w:rPr>
                <w:rFonts w:ascii="Calibri" w:eastAsia="Calibri" w:hAnsi="Calibri" w:cs="Arial"/>
                <w:b/>
                <w:lang w:eastAsia="en-US"/>
              </w:rPr>
            </w:pPr>
            <w:r w:rsidRPr="006B56D4">
              <w:rPr>
                <w:rFonts w:ascii="Calibri" w:eastAsia="Calibri" w:hAnsi="Calibri" w:cs="Arial"/>
                <w:b/>
                <w:lang w:eastAsia="en-US"/>
              </w:rPr>
              <w:t>crise ambiental e resistências</w:t>
            </w:r>
          </w:p>
          <w:p w14:paraId="6D036265" w14:textId="77777777" w:rsidR="006B56D4" w:rsidRPr="006B56D4" w:rsidRDefault="006B56D4" w:rsidP="006B56D4">
            <w:pPr>
              <w:widowControl/>
              <w:spacing w:after="0" w:line="240" w:lineRule="auto"/>
              <w:jc w:val="center"/>
              <w:rPr>
                <w:rFonts w:ascii="Calibri" w:eastAsia="Calibri" w:hAnsi="Calibri" w:cs="Arial"/>
                <w:b/>
                <w:sz w:val="20"/>
                <w:szCs w:val="20"/>
                <w:lang w:eastAsia="en-US"/>
              </w:rPr>
            </w:pPr>
            <w:r w:rsidRPr="006B56D4">
              <w:rPr>
                <w:rFonts w:ascii="Calibri" w:eastAsia="Calibri" w:hAnsi="Calibri" w:cs="Arial"/>
                <w:b/>
                <w:sz w:val="20"/>
                <w:szCs w:val="20"/>
                <w:lang w:eastAsia="en-US"/>
              </w:rPr>
              <w:t>Vitória, ES, Brasil, 18 a 20 de agosto de 2026</w:t>
            </w:r>
          </w:p>
          <w:p w14:paraId="35E2B0AE" w14:textId="77777777" w:rsidR="006B56D4" w:rsidRPr="006B56D4" w:rsidRDefault="006B56D4" w:rsidP="006B56D4">
            <w:pPr>
              <w:widowControl/>
              <w:spacing w:after="0" w:line="240" w:lineRule="auto"/>
              <w:jc w:val="center"/>
              <w:rPr>
                <w:rFonts w:ascii="Calibri" w:eastAsia="Calibri" w:hAnsi="Calibri" w:cs="Arial"/>
                <w:b/>
                <w:sz w:val="20"/>
                <w:szCs w:val="20"/>
                <w:lang w:eastAsia="en-US"/>
              </w:rPr>
            </w:pPr>
          </w:p>
        </w:tc>
      </w:tr>
    </w:tbl>
    <w:bookmarkEnd w:id="0"/>
    <w:bookmarkEnd w:id="1"/>
    <w:p w14:paraId="14965A4F" w14:textId="6657E21C" w:rsidR="00602744" w:rsidRPr="006B56D4" w:rsidRDefault="006B56D4" w:rsidP="006B56D4">
      <w:pPr>
        <w:widowControl/>
        <w:spacing w:after="0"/>
        <w:jc w:val="center"/>
        <w:rPr>
          <w:rFonts w:ascii="Calibri" w:eastAsia="Calibri" w:hAnsi="Calibri" w:cs="Arial"/>
          <w:sz w:val="22"/>
          <w:szCs w:val="22"/>
          <w:lang w:eastAsia="en-US"/>
        </w:rPr>
      </w:pPr>
      <w:r w:rsidRPr="006B56D4">
        <w:rPr>
          <w:rFonts w:ascii="Calibri" w:hAnsi="Calibri"/>
          <w:b/>
          <w:sz w:val="20"/>
          <w:szCs w:val="20"/>
          <w:lang w:eastAsia="en-US"/>
        </w:rPr>
        <w:t xml:space="preserve">Eixo: </w:t>
      </w:r>
      <w:r w:rsidR="00807FDD" w:rsidRPr="006B56D4">
        <w:rPr>
          <w:rFonts w:asciiTheme="minorHAnsi" w:hAnsiTheme="minorHAnsi" w:cstheme="minorHAnsi"/>
          <w:b/>
          <w:sz w:val="20"/>
          <w:szCs w:val="20"/>
        </w:rPr>
        <w:t>Democracia, Participação e Direitos Sociais</w:t>
      </w:r>
    </w:p>
    <w:p w14:paraId="73AD70EB" w14:textId="77777777" w:rsidR="006B56D4" w:rsidRPr="006B56D4" w:rsidRDefault="006B56D4" w:rsidP="006B56D4">
      <w:pPr>
        <w:pBdr>
          <w:top w:val="nil"/>
          <w:left w:val="nil"/>
          <w:bottom w:val="nil"/>
          <w:right w:val="nil"/>
          <w:between w:val="nil"/>
        </w:pBdr>
        <w:spacing w:after="0" w:line="240" w:lineRule="auto"/>
        <w:jc w:val="center"/>
        <w:rPr>
          <w:rFonts w:asciiTheme="minorHAnsi" w:hAnsiTheme="minorHAnsi" w:cstheme="minorHAnsi"/>
          <w:b/>
        </w:rPr>
      </w:pPr>
    </w:p>
    <w:p w14:paraId="14965A50" w14:textId="77777777" w:rsidR="009F70C1" w:rsidRPr="00FD71DE" w:rsidRDefault="00053969" w:rsidP="006B56D4">
      <w:pPr>
        <w:spacing w:after="0" w:line="240" w:lineRule="auto"/>
        <w:jc w:val="center"/>
        <w:rPr>
          <w:b/>
        </w:rPr>
      </w:pPr>
      <w:r w:rsidRPr="00FD71DE">
        <w:rPr>
          <w:b/>
        </w:rPr>
        <w:t>Crise de hegemonia</w:t>
      </w:r>
      <w:r w:rsidR="009F70C1" w:rsidRPr="00FD71DE">
        <w:rPr>
          <w:b/>
        </w:rPr>
        <w:t xml:space="preserve"> e a política habitacional em Portugal</w:t>
      </w:r>
      <w:r w:rsidR="00EE73F5" w:rsidRPr="00FD71DE">
        <w:rPr>
          <w:b/>
        </w:rPr>
        <w:t xml:space="preserve"> (1974-1976)</w:t>
      </w:r>
      <w:r w:rsidR="009F70C1" w:rsidRPr="00FD71DE">
        <w:rPr>
          <w:b/>
        </w:rPr>
        <w:t>.</w:t>
      </w:r>
    </w:p>
    <w:p w14:paraId="14965A53" w14:textId="77777777" w:rsidR="009F70C1" w:rsidRDefault="009F70C1" w:rsidP="006B56D4">
      <w:pPr>
        <w:pBdr>
          <w:top w:val="nil"/>
          <w:left w:val="nil"/>
          <w:bottom w:val="nil"/>
          <w:right w:val="nil"/>
          <w:between w:val="nil"/>
        </w:pBdr>
        <w:spacing w:after="0" w:line="240" w:lineRule="auto"/>
      </w:pPr>
    </w:p>
    <w:p w14:paraId="14965A54" w14:textId="77777777" w:rsidR="00602744" w:rsidRDefault="009F70C1" w:rsidP="006B56D4">
      <w:pPr>
        <w:pBdr>
          <w:top w:val="nil"/>
          <w:left w:val="nil"/>
          <w:bottom w:val="nil"/>
          <w:right w:val="nil"/>
          <w:between w:val="nil"/>
        </w:pBdr>
        <w:spacing w:after="0" w:line="240" w:lineRule="auto"/>
        <w:jc w:val="right"/>
        <w:rPr>
          <w:b/>
          <w:bCs/>
          <w:color w:val="000000"/>
        </w:rPr>
      </w:pPr>
      <w:r>
        <w:rPr>
          <w:b/>
          <w:bCs/>
          <w:color w:val="000000"/>
        </w:rPr>
        <w:t>Bruno José Oliveira</w:t>
      </w:r>
      <w:r w:rsidR="00441A5E">
        <w:rPr>
          <w:b/>
          <w:bCs/>
          <w:color w:val="000000"/>
          <w:vertAlign w:val="superscript"/>
        </w:rPr>
        <w:footnoteReference w:id="1"/>
      </w:r>
    </w:p>
    <w:p w14:paraId="14965A55" w14:textId="77777777" w:rsidR="00602744" w:rsidRDefault="00602744" w:rsidP="006B56D4">
      <w:pPr>
        <w:widowControl/>
        <w:pBdr>
          <w:top w:val="nil"/>
          <w:left w:val="nil"/>
          <w:bottom w:val="nil"/>
          <w:right w:val="nil"/>
          <w:between w:val="nil"/>
        </w:pBdr>
        <w:spacing w:after="0" w:line="240" w:lineRule="auto"/>
        <w:jc w:val="both"/>
        <w:rPr>
          <w:color w:val="000000"/>
        </w:rPr>
      </w:pPr>
    </w:p>
    <w:p w14:paraId="14965A56" w14:textId="77777777" w:rsidR="00602744" w:rsidRPr="00F818AE" w:rsidRDefault="00441A5E" w:rsidP="006B56D4">
      <w:pPr>
        <w:pBdr>
          <w:top w:val="nil"/>
          <w:left w:val="nil"/>
          <w:bottom w:val="nil"/>
          <w:right w:val="nil"/>
          <w:between w:val="nil"/>
        </w:pBdr>
        <w:tabs>
          <w:tab w:val="center" w:pos="1320"/>
          <w:tab w:val="center" w:pos="5255"/>
        </w:tabs>
        <w:spacing w:after="0" w:line="240" w:lineRule="auto"/>
        <w:jc w:val="both"/>
        <w:rPr>
          <w:bCs/>
          <w:color w:val="000000"/>
          <w:sz w:val="20"/>
          <w:szCs w:val="20"/>
        </w:rPr>
      </w:pPr>
      <w:r>
        <w:rPr>
          <w:b/>
          <w:bCs/>
          <w:color w:val="000000"/>
          <w:sz w:val="20"/>
          <w:szCs w:val="20"/>
        </w:rPr>
        <w:t xml:space="preserve">Resumo: </w:t>
      </w:r>
      <w:r w:rsidR="002909B3" w:rsidRPr="00F818AE">
        <w:rPr>
          <w:bCs/>
          <w:color w:val="000000"/>
          <w:sz w:val="20"/>
          <w:szCs w:val="20"/>
        </w:rPr>
        <w:t>E</w:t>
      </w:r>
      <w:r w:rsidR="00FD71DE">
        <w:rPr>
          <w:bCs/>
          <w:color w:val="000000"/>
          <w:sz w:val="20"/>
          <w:szCs w:val="20"/>
        </w:rPr>
        <w:t>ste artigo</w:t>
      </w:r>
      <w:r w:rsidR="002909B3" w:rsidRPr="00F818AE">
        <w:rPr>
          <w:bCs/>
          <w:color w:val="000000"/>
          <w:sz w:val="20"/>
          <w:szCs w:val="20"/>
        </w:rPr>
        <w:t xml:space="preserve"> debruça-se sobre a política de habitação desenvolvida em Portugal no período imediatamente posterior à Revolução dos Cravos, oc</w:t>
      </w:r>
      <w:r w:rsidR="002F6506" w:rsidRPr="00F818AE">
        <w:rPr>
          <w:bCs/>
          <w:color w:val="000000"/>
          <w:sz w:val="20"/>
          <w:szCs w:val="20"/>
        </w:rPr>
        <w:t xml:space="preserve">orrida em 25 de abril de 1974. Como resposta </w:t>
      </w:r>
      <w:r w:rsidR="00F818AE" w:rsidRPr="00F818AE">
        <w:rPr>
          <w:bCs/>
          <w:color w:val="000000"/>
          <w:sz w:val="20"/>
          <w:szCs w:val="20"/>
        </w:rPr>
        <w:t xml:space="preserve">estatal </w:t>
      </w:r>
      <w:r w:rsidR="002F6506" w:rsidRPr="00F818AE">
        <w:rPr>
          <w:bCs/>
          <w:color w:val="000000"/>
          <w:sz w:val="20"/>
          <w:szCs w:val="20"/>
        </w:rPr>
        <w:t>à</w:t>
      </w:r>
      <w:r w:rsidR="002909B3" w:rsidRPr="00F818AE">
        <w:rPr>
          <w:bCs/>
          <w:color w:val="000000"/>
          <w:sz w:val="20"/>
          <w:szCs w:val="20"/>
        </w:rPr>
        <w:t xml:space="preserve"> eclos</w:t>
      </w:r>
      <w:r w:rsidR="00F818AE" w:rsidRPr="00F818AE">
        <w:rPr>
          <w:bCs/>
          <w:color w:val="000000"/>
          <w:sz w:val="20"/>
          <w:szCs w:val="20"/>
        </w:rPr>
        <w:t>ão das mobilizações</w:t>
      </w:r>
      <w:r w:rsidR="002909B3" w:rsidRPr="00F818AE">
        <w:rPr>
          <w:bCs/>
          <w:color w:val="000000"/>
          <w:sz w:val="20"/>
          <w:szCs w:val="20"/>
        </w:rPr>
        <w:t xml:space="preserve"> </w:t>
      </w:r>
      <w:r w:rsidR="00F818AE">
        <w:rPr>
          <w:bCs/>
          <w:color w:val="000000"/>
          <w:sz w:val="20"/>
          <w:szCs w:val="20"/>
        </w:rPr>
        <w:t>protagonizadas pelas</w:t>
      </w:r>
      <w:r w:rsidR="002909B3" w:rsidRPr="00F818AE">
        <w:rPr>
          <w:bCs/>
          <w:color w:val="000000"/>
          <w:sz w:val="20"/>
          <w:szCs w:val="20"/>
        </w:rPr>
        <w:t xml:space="preserve"> classes subalternas urbanas em torno da reivindicação do direito à moradia</w:t>
      </w:r>
      <w:r w:rsidR="00F818AE" w:rsidRPr="00F818AE">
        <w:rPr>
          <w:bCs/>
          <w:color w:val="000000"/>
          <w:sz w:val="20"/>
          <w:szCs w:val="20"/>
        </w:rPr>
        <w:t xml:space="preserve"> digna</w:t>
      </w:r>
      <w:r w:rsidR="002F6506" w:rsidRPr="00F818AE">
        <w:rPr>
          <w:bCs/>
          <w:color w:val="000000"/>
          <w:sz w:val="20"/>
          <w:szCs w:val="20"/>
        </w:rPr>
        <w:t>, foi desenvolvido</w:t>
      </w:r>
      <w:r w:rsidR="002909B3" w:rsidRPr="00F818AE">
        <w:rPr>
          <w:bCs/>
          <w:color w:val="000000"/>
          <w:sz w:val="20"/>
          <w:szCs w:val="20"/>
        </w:rPr>
        <w:t xml:space="preserve"> o Serviço de Apoio Ambulatorial Local, conhecido como</w:t>
      </w:r>
      <w:r w:rsidR="00E45C3F">
        <w:rPr>
          <w:bCs/>
          <w:color w:val="000000"/>
          <w:sz w:val="20"/>
          <w:szCs w:val="20"/>
        </w:rPr>
        <w:t xml:space="preserve"> “</w:t>
      </w:r>
      <w:r w:rsidR="002909B3" w:rsidRPr="00F818AE">
        <w:rPr>
          <w:bCs/>
          <w:color w:val="000000"/>
          <w:sz w:val="20"/>
          <w:szCs w:val="20"/>
        </w:rPr>
        <w:t>processo SAAL</w:t>
      </w:r>
      <w:r w:rsidR="00E45C3F">
        <w:rPr>
          <w:bCs/>
          <w:color w:val="000000"/>
          <w:sz w:val="20"/>
          <w:szCs w:val="20"/>
        </w:rPr>
        <w:t>”</w:t>
      </w:r>
      <w:r w:rsidR="002F6506" w:rsidRPr="00F818AE">
        <w:rPr>
          <w:bCs/>
          <w:color w:val="000000"/>
          <w:sz w:val="20"/>
          <w:szCs w:val="20"/>
        </w:rPr>
        <w:t xml:space="preserve">, política habitacional e urbana que promovia melhorias infraestruturais </w:t>
      </w:r>
      <w:r w:rsidR="00F818AE">
        <w:rPr>
          <w:bCs/>
          <w:color w:val="000000"/>
          <w:sz w:val="20"/>
          <w:szCs w:val="20"/>
        </w:rPr>
        <w:t xml:space="preserve">nos territórios precarizados </w:t>
      </w:r>
      <w:r w:rsidR="002F6506" w:rsidRPr="00F818AE">
        <w:rPr>
          <w:bCs/>
          <w:color w:val="000000"/>
          <w:sz w:val="20"/>
          <w:szCs w:val="20"/>
        </w:rPr>
        <w:t>e a construção de un</w:t>
      </w:r>
      <w:r w:rsidR="00F818AE" w:rsidRPr="00F818AE">
        <w:rPr>
          <w:bCs/>
          <w:color w:val="000000"/>
          <w:sz w:val="20"/>
          <w:szCs w:val="20"/>
        </w:rPr>
        <w:t>idades habitacionais. Ao</w:t>
      </w:r>
      <w:r w:rsidR="002909B3" w:rsidRPr="00F818AE">
        <w:rPr>
          <w:bCs/>
          <w:color w:val="000000"/>
          <w:sz w:val="20"/>
          <w:szCs w:val="20"/>
        </w:rPr>
        <w:t xml:space="preserve"> </w:t>
      </w:r>
      <w:r w:rsidR="00F818AE" w:rsidRPr="00F818AE">
        <w:rPr>
          <w:bCs/>
          <w:color w:val="000000"/>
          <w:sz w:val="20"/>
          <w:szCs w:val="20"/>
        </w:rPr>
        <w:t>adotar uma metodologia democrático-participativa que estimulava</w:t>
      </w:r>
      <w:r w:rsidR="002909B3" w:rsidRPr="00F818AE">
        <w:rPr>
          <w:bCs/>
          <w:color w:val="000000"/>
          <w:sz w:val="20"/>
          <w:szCs w:val="20"/>
        </w:rPr>
        <w:t xml:space="preserve"> a organização coletiva, tal política foi amplamente atravessada pelas tensões </w:t>
      </w:r>
      <w:proofErr w:type="spellStart"/>
      <w:r w:rsidR="002909B3" w:rsidRPr="00F818AE">
        <w:rPr>
          <w:bCs/>
          <w:color w:val="000000"/>
          <w:sz w:val="20"/>
          <w:szCs w:val="20"/>
        </w:rPr>
        <w:t>ideopolíticas</w:t>
      </w:r>
      <w:proofErr w:type="spellEnd"/>
      <w:r w:rsidR="002F6506" w:rsidRPr="00F818AE">
        <w:rPr>
          <w:bCs/>
          <w:color w:val="000000"/>
          <w:sz w:val="20"/>
          <w:szCs w:val="20"/>
        </w:rPr>
        <w:t xml:space="preserve"> que marcaram a redemocratização portuguesa ap</w:t>
      </w:r>
      <w:r w:rsidR="009952EE">
        <w:rPr>
          <w:bCs/>
          <w:color w:val="000000"/>
          <w:sz w:val="20"/>
          <w:szCs w:val="20"/>
        </w:rPr>
        <w:t>ós 48 anos de d</w:t>
      </w:r>
      <w:r w:rsidR="00E45C3F">
        <w:rPr>
          <w:bCs/>
          <w:color w:val="000000"/>
          <w:sz w:val="20"/>
          <w:szCs w:val="20"/>
        </w:rPr>
        <w:t>itadura</w:t>
      </w:r>
      <w:r w:rsidR="002F6506" w:rsidRPr="00F818AE">
        <w:rPr>
          <w:bCs/>
          <w:color w:val="000000"/>
          <w:sz w:val="20"/>
          <w:szCs w:val="20"/>
        </w:rPr>
        <w:t>.</w:t>
      </w:r>
      <w:r w:rsidR="002909B3" w:rsidRPr="00F818AE">
        <w:rPr>
          <w:bCs/>
          <w:color w:val="000000"/>
          <w:sz w:val="20"/>
          <w:szCs w:val="20"/>
        </w:rPr>
        <w:t xml:space="preserve"> </w:t>
      </w:r>
    </w:p>
    <w:p w14:paraId="14965A57" w14:textId="3B871828" w:rsidR="00602744" w:rsidRDefault="00441A5E" w:rsidP="006B56D4">
      <w:pPr>
        <w:pBdr>
          <w:top w:val="nil"/>
          <w:left w:val="nil"/>
          <w:bottom w:val="nil"/>
          <w:right w:val="nil"/>
          <w:between w:val="nil"/>
        </w:pBdr>
        <w:tabs>
          <w:tab w:val="center" w:pos="1320"/>
          <w:tab w:val="center" w:pos="5255"/>
        </w:tabs>
        <w:spacing w:after="0" w:line="240" w:lineRule="auto"/>
        <w:rPr>
          <w:b/>
          <w:bCs/>
          <w:color w:val="000000"/>
          <w:sz w:val="20"/>
          <w:szCs w:val="20"/>
        </w:rPr>
      </w:pPr>
      <w:r>
        <w:rPr>
          <w:b/>
          <w:bCs/>
          <w:color w:val="000000"/>
          <w:sz w:val="20"/>
          <w:szCs w:val="20"/>
        </w:rPr>
        <w:t xml:space="preserve">Palavras-chave: </w:t>
      </w:r>
      <w:r w:rsidR="006B56D4">
        <w:rPr>
          <w:color w:val="000000"/>
          <w:sz w:val="20"/>
          <w:szCs w:val="20"/>
        </w:rPr>
        <w:t>c</w:t>
      </w:r>
      <w:r w:rsidR="00F818AE">
        <w:rPr>
          <w:color w:val="000000"/>
          <w:sz w:val="20"/>
          <w:szCs w:val="20"/>
        </w:rPr>
        <w:t>rise de hegemonia; movimentos sociais urbanos; direito à cidade; pol</w:t>
      </w:r>
      <w:r w:rsidR="00FD71DE">
        <w:rPr>
          <w:color w:val="000000"/>
          <w:sz w:val="20"/>
          <w:szCs w:val="20"/>
        </w:rPr>
        <w:t>ítica social.</w:t>
      </w:r>
    </w:p>
    <w:p w14:paraId="14965A58" w14:textId="77777777" w:rsidR="00FD71DE" w:rsidRDefault="00FD71DE" w:rsidP="006B56D4">
      <w:pPr>
        <w:pBdr>
          <w:top w:val="nil"/>
          <w:left w:val="nil"/>
          <w:bottom w:val="nil"/>
          <w:right w:val="nil"/>
          <w:between w:val="nil"/>
        </w:pBdr>
        <w:tabs>
          <w:tab w:val="center" w:pos="1320"/>
          <w:tab w:val="center" w:pos="5255"/>
        </w:tabs>
        <w:spacing w:after="0" w:line="240" w:lineRule="auto"/>
        <w:rPr>
          <w:b/>
          <w:bCs/>
          <w:color w:val="000000"/>
        </w:rPr>
      </w:pPr>
    </w:p>
    <w:p w14:paraId="14965A5A" w14:textId="21040BDE" w:rsidR="00FD71DE" w:rsidRDefault="00FD71DE" w:rsidP="006B56D4">
      <w:pPr>
        <w:pBdr>
          <w:top w:val="nil"/>
          <w:left w:val="nil"/>
          <w:bottom w:val="nil"/>
          <w:right w:val="nil"/>
          <w:between w:val="nil"/>
        </w:pBdr>
        <w:tabs>
          <w:tab w:val="center" w:pos="1320"/>
          <w:tab w:val="center" w:pos="5255"/>
        </w:tabs>
        <w:spacing w:after="0" w:line="240" w:lineRule="auto"/>
        <w:jc w:val="center"/>
        <w:rPr>
          <w:b/>
          <w:bCs/>
          <w:color w:val="000000"/>
          <w:lang w:val="en-GB"/>
        </w:rPr>
      </w:pPr>
      <w:r w:rsidRPr="006B56D4">
        <w:rPr>
          <w:b/>
          <w:bCs/>
          <w:color w:val="000000"/>
          <w:lang w:val="en-GB"/>
        </w:rPr>
        <w:t>Crisis of hegemony and housing policy in Portugal (1974-1976).</w:t>
      </w:r>
    </w:p>
    <w:p w14:paraId="6E41915E" w14:textId="77777777" w:rsidR="006B56D4" w:rsidRPr="006B56D4" w:rsidRDefault="006B56D4" w:rsidP="006B56D4">
      <w:pPr>
        <w:pBdr>
          <w:top w:val="nil"/>
          <w:left w:val="nil"/>
          <w:bottom w:val="nil"/>
          <w:right w:val="nil"/>
          <w:between w:val="nil"/>
        </w:pBdr>
        <w:tabs>
          <w:tab w:val="center" w:pos="1320"/>
          <w:tab w:val="center" w:pos="5255"/>
        </w:tabs>
        <w:spacing w:after="0" w:line="240" w:lineRule="auto"/>
        <w:jc w:val="center"/>
        <w:rPr>
          <w:b/>
          <w:bCs/>
          <w:color w:val="000000"/>
          <w:lang w:val="en-GB"/>
        </w:rPr>
      </w:pPr>
    </w:p>
    <w:p w14:paraId="14965A5B" w14:textId="3F2166E3" w:rsidR="00602744" w:rsidRPr="006B56D4" w:rsidRDefault="00441A5E" w:rsidP="006B56D4">
      <w:pPr>
        <w:pBdr>
          <w:top w:val="nil"/>
          <w:left w:val="nil"/>
          <w:bottom w:val="nil"/>
          <w:right w:val="nil"/>
          <w:between w:val="nil"/>
        </w:pBdr>
        <w:tabs>
          <w:tab w:val="center" w:pos="1320"/>
          <w:tab w:val="center" w:pos="5255"/>
        </w:tabs>
        <w:spacing w:after="0" w:line="240" w:lineRule="auto"/>
        <w:jc w:val="both"/>
        <w:rPr>
          <w:bCs/>
          <w:color w:val="000000"/>
          <w:sz w:val="20"/>
          <w:szCs w:val="20"/>
          <w:lang w:val="en-GB"/>
        </w:rPr>
      </w:pPr>
      <w:r w:rsidRPr="006B56D4">
        <w:rPr>
          <w:b/>
          <w:bCs/>
          <w:color w:val="000000"/>
          <w:sz w:val="20"/>
          <w:szCs w:val="20"/>
          <w:lang w:val="en-GB"/>
        </w:rPr>
        <w:t>Abstract:</w:t>
      </w:r>
      <w:r w:rsidRPr="006B56D4">
        <w:rPr>
          <w:color w:val="000000"/>
          <w:sz w:val="20"/>
          <w:szCs w:val="20"/>
          <w:lang w:val="en-GB"/>
        </w:rPr>
        <w:t xml:space="preserve"> </w:t>
      </w:r>
      <w:r w:rsidR="00FD71DE" w:rsidRPr="006B56D4">
        <w:rPr>
          <w:bCs/>
          <w:color w:val="000000"/>
          <w:sz w:val="20"/>
          <w:szCs w:val="20"/>
          <w:lang w:val="en-GB"/>
        </w:rPr>
        <w:t xml:space="preserve">This article examines the housing policy developed in Portugal in the period immediately following the Carnation Revolution, which took place on April 25, 1974. As a state response to the outbreak of mobilizations led by the urban subaltern classes around the demand for the right to decent housing, the Local Ambulatory Support Service, known as </w:t>
      </w:r>
      <w:r w:rsidR="00E45C3F" w:rsidRPr="006B56D4">
        <w:rPr>
          <w:bCs/>
          <w:color w:val="000000"/>
          <w:sz w:val="20"/>
          <w:szCs w:val="20"/>
          <w:lang w:val="en-GB"/>
        </w:rPr>
        <w:t>“</w:t>
      </w:r>
      <w:r w:rsidR="00FD71DE" w:rsidRPr="006B56D4">
        <w:rPr>
          <w:bCs/>
          <w:color w:val="000000"/>
          <w:sz w:val="20"/>
          <w:szCs w:val="20"/>
          <w:lang w:val="en-GB"/>
        </w:rPr>
        <w:t>the SAAL process</w:t>
      </w:r>
      <w:r w:rsidR="00E45C3F" w:rsidRPr="006B56D4">
        <w:rPr>
          <w:bCs/>
          <w:color w:val="000000"/>
          <w:sz w:val="20"/>
          <w:szCs w:val="20"/>
          <w:lang w:val="en-GB"/>
        </w:rPr>
        <w:t>”</w:t>
      </w:r>
      <w:r w:rsidR="00FD71DE" w:rsidRPr="006B56D4">
        <w:rPr>
          <w:bCs/>
          <w:color w:val="000000"/>
          <w:sz w:val="20"/>
          <w:szCs w:val="20"/>
          <w:lang w:val="en-GB"/>
        </w:rPr>
        <w:t>, was developed. This housing and urban policy promoted infrastructural improvements in precarious territories and the construction of housing units. By adopting a democratic-participatory methodology that encouraged collective organization, this policy was largely affected by the ideopolitical tensions that marked the Portuguese re</w:t>
      </w:r>
      <w:r w:rsidR="006B56D4">
        <w:rPr>
          <w:bCs/>
          <w:color w:val="000000"/>
          <w:sz w:val="20"/>
          <w:szCs w:val="20"/>
          <w:lang w:val="en-GB"/>
        </w:rPr>
        <w:t>-</w:t>
      </w:r>
      <w:r w:rsidR="00FD71DE" w:rsidRPr="006B56D4">
        <w:rPr>
          <w:bCs/>
          <w:color w:val="000000"/>
          <w:sz w:val="20"/>
          <w:szCs w:val="20"/>
          <w:lang w:val="en-GB"/>
        </w:rPr>
        <w:t>democratization af</w:t>
      </w:r>
      <w:r w:rsidR="00E45C3F" w:rsidRPr="006B56D4">
        <w:rPr>
          <w:bCs/>
          <w:color w:val="000000"/>
          <w:sz w:val="20"/>
          <w:szCs w:val="20"/>
          <w:lang w:val="en-GB"/>
        </w:rPr>
        <w:t xml:space="preserve">ter 48 years of the </w:t>
      </w:r>
      <w:r w:rsidR="00FD71DE" w:rsidRPr="006B56D4">
        <w:rPr>
          <w:bCs/>
          <w:color w:val="000000"/>
          <w:sz w:val="20"/>
          <w:szCs w:val="20"/>
          <w:lang w:val="en-GB"/>
        </w:rPr>
        <w:t>dictatorship.</w:t>
      </w:r>
    </w:p>
    <w:p w14:paraId="14965A5C" w14:textId="315CB3EC" w:rsidR="00602744" w:rsidRPr="006B56D4" w:rsidRDefault="00441A5E" w:rsidP="006B56D4">
      <w:pPr>
        <w:pBdr>
          <w:top w:val="nil"/>
          <w:left w:val="nil"/>
          <w:bottom w:val="nil"/>
          <w:right w:val="nil"/>
          <w:between w:val="nil"/>
        </w:pBdr>
        <w:tabs>
          <w:tab w:val="center" w:pos="1320"/>
          <w:tab w:val="center" w:pos="5255"/>
        </w:tabs>
        <w:spacing w:after="0" w:line="240" w:lineRule="auto"/>
        <w:rPr>
          <w:color w:val="000000"/>
          <w:sz w:val="20"/>
          <w:szCs w:val="20"/>
          <w:lang w:val="en-GB"/>
        </w:rPr>
      </w:pPr>
      <w:r w:rsidRPr="006B56D4">
        <w:rPr>
          <w:b/>
          <w:bCs/>
          <w:color w:val="000000"/>
          <w:sz w:val="20"/>
          <w:szCs w:val="20"/>
          <w:lang w:val="en-GB"/>
        </w:rPr>
        <w:t xml:space="preserve">Keywords: </w:t>
      </w:r>
      <w:r w:rsidR="006B56D4">
        <w:rPr>
          <w:color w:val="000000"/>
          <w:sz w:val="20"/>
          <w:szCs w:val="20"/>
          <w:lang w:val="en-GB"/>
        </w:rPr>
        <w:t>c</w:t>
      </w:r>
      <w:r w:rsidR="00FD71DE" w:rsidRPr="006B56D4">
        <w:rPr>
          <w:color w:val="000000"/>
          <w:sz w:val="20"/>
          <w:szCs w:val="20"/>
          <w:lang w:val="en-GB"/>
        </w:rPr>
        <w:t>risis of hegemony</w:t>
      </w:r>
      <w:r w:rsidR="00E45C3F" w:rsidRPr="006B56D4">
        <w:rPr>
          <w:color w:val="000000"/>
          <w:sz w:val="20"/>
          <w:szCs w:val="20"/>
          <w:lang w:val="en-GB"/>
        </w:rPr>
        <w:t>; social urban movements; right to the city; social policy.</w:t>
      </w:r>
    </w:p>
    <w:p w14:paraId="14965A63" w14:textId="77777777" w:rsidR="00E45C3F" w:rsidRPr="006B56D4" w:rsidRDefault="00E45C3F" w:rsidP="006B56D4">
      <w:pPr>
        <w:widowControl/>
        <w:pBdr>
          <w:top w:val="nil"/>
          <w:left w:val="nil"/>
          <w:bottom w:val="nil"/>
          <w:right w:val="nil"/>
          <w:between w:val="nil"/>
        </w:pBdr>
        <w:spacing w:after="0" w:line="360" w:lineRule="auto"/>
        <w:jc w:val="both"/>
        <w:rPr>
          <w:color w:val="000000"/>
          <w:lang w:val="en-GB"/>
        </w:rPr>
      </w:pPr>
    </w:p>
    <w:p w14:paraId="14965A65" w14:textId="421820FA" w:rsidR="00E45C3F" w:rsidRPr="006B56D4" w:rsidRDefault="009F70C1" w:rsidP="006B56D4">
      <w:pPr>
        <w:pStyle w:val="ListParagraph"/>
        <w:numPr>
          <w:ilvl w:val="0"/>
          <w:numId w:val="3"/>
        </w:numPr>
        <w:spacing w:after="0" w:line="360" w:lineRule="auto"/>
        <w:ind w:left="284" w:hanging="284"/>
        <w:rPr>
          <w:b/>
        </w:rPr>
      </w:pPr>
      <w:r w:rsidRPr="006B56D4">
        <w:rPr>
          <w:b/>
        </w:rPr>
        <w:t>A Ditadura do Estado Novo e a Questão Urbana.</w:t>
      </w:r>
    </w:p>
    <w:p w14:paraId="14965A66" w14:textId="77777777" w:rsidR="009F70C1" w:rsidRPr="00FA30CD" w:rsidRDefault="009F70C1" w:rsidP="006B56D4">
      <w:pPr>
        <w:spacing w:after="0" w:line="360" w:lineRule="auto"/>
        <w:ind w:firstLine="708"/>
        <w:jc w:val="both"/>
      </w:pPr>
      <w:r w:rsidRPr="00FA30CD">
        <w:t xml:space="preserve">No dia 28 de maio de 1926 iniciou-se em Portugal a ditadura mais longeva da Europa. Um golpe militar comandado por oficiais alinhados às classes dominantes do país impôs um regime que figurou como parte da ascensão das experiências fascistas que marcaram as décadas de 1920 e 1930 no continente. A Ditadura Militar (1926-1928) e a Ditadura Nacional (1928-1933) estabeleceram-se como etapas transicionais para o Estado Novo (1933-1974), período marcado pela liderança do acadêmico e intelectual católico ultraconservador Antônio de Oliveira Salazar, que assumiu a posição de Presidente do Conselho de Ministros entre 1933-1968.  O regime buscou atender os </w:t>
      </w:r>
      <w:r w:rsidRPr="00FA30CD">
        <w:lastRenderedPageBreak/>
        <w:t>interesses das diferentes frações das classes dominantes lusitanas implementando uma agenda econômica baseada na indução do processo de monopolização da economia e no controle social e político sobre as classes subalternas.</w:t>
      </w:r>
    </w:p>
    <w:p w14:paraId="14965A67" w14:textId="77777777" w:rsidR="009F70C1" w:rsidRDefault="009F70C1" w:rsidP="006B56D4">
      <w:pPr>
        <w:spacing w:after="0" w:line="360" w:lineRule="auto"/>
        <w:ind w:firstLine="708"/>
        <w:jc w:val="both"/>
      </w:pPr>
      <w:r w:rsidRPr="00FA30CD">
        <w:t xml:space="preserve">Nesse diapasão, a questão urbana em Portugal e o seu </w:t>
      </w:r>
      <w:r>
        <w:t>componente habitacional constituiu-se como</w:t>
      </w:r>
      <w:r w:rsidRPr="00FA30CD">
        <w:t xml:space="preserve"> uma esfera de intervenção estatal desde os primeiros tempos do regime autocrático, conforme analisa Silva (2016)</w:t>
      </w:r>
      <w:r>
        <w:t>. Porém, o processo de urbanização que se desenvolvia desde as últimas décadas do século XIX,</w:t>
      </w:r>
      <w:r w:rsidRPr="00FA30CD">
        <w:t xml:space="preserve"> ganhou</w:t>
      </w:r>
      <w:r>
        <w:t xml:space="preserve"> novo dinamismo</w:t>
      </w:r>
      <w:r w:rsidRPr="00FA30CD">
        <w:t xml:space="preserve"> com o incremento da atividade industrial, a partir dos anos 1950.</w:t>
      </w:r>
      <w:r>
        <w:t xml:space="preserve"> A migração da população rural para os centros urbanos, com destaque para o Porto e a capital, Lisboa, contribuíram decisivamente para que essas duas cidades experimentassem processos de adensamento populacional que contribuíram frontalmente para a ampliação do déficit habitacional. Tal fenômeno teve como principal expressão a formação de assentamentos informais conhecidos como “bairros de barraca” ou “bairros de lata”, locais onde as residências apresentavam péssimas condições de habitabilidade e completa ausência de infraestrutura urbana. De acordo com uma matéria do noticiário português “Público”, em 1971, Lisboa registrava 197 “bairros de barracas” onde residiam cerca de 9% da população local. </w:t>
      </w:r>
    </w:p>
    <w:p w14:paraId="14965A68" w14:textId="77777777" w:rsidR="009F70C1" w:rsidRPr="00FA30CD" w:rsidRDefault="009F70C1" w:rsidP="006B56D4">
      <w:pPr>
        <w:spacing w:after="0" w:line="360" w:lineRule="auto"/>
        <w:ind w:firstLine="708"/>
        <w:jc w:val="both"/>
      </w:pPr>
      <w:r w:rsidRPr="00FA30CD">
        <w:t xml:space="preserve">Em setembro 1968, o jurista Marcelo Caetano substituiu Salazar na Presidência do Conselho de Ministros por conta do adoecimento desse último. Esse evento reforçou a expectativa em torno da construção de uma reduzida versão lusitana do </w:t>
      </w:r>
      <w:r w:rsidRPr="00FA30CD">
        <w:rPr>
          <w:i/>
        </w:rPr>
        <w:t xml:space="preserve">Welfare </w:t>
      </w:r>
      <w:proofErr w:type="spellStart"/>
      <w:r w:rsidRPr="00FA30CD">
        <w:rPr>
          <w:i/>
        </w:rPr>
        <w:t>State</w:t>
      </w:r>
      <w:proofErr w:type="spellEnd"/>
      <w:r w:rsidRPr="00FA30CD">
        <w:t xml:space="preserve">, o “Estado Social”. Ela seria uma das expressões de um processo de abertura do regime que foi chamado de “Primavera Marcelista”. </w:t>
      </w:r>
      <w:r>
        <w:t>Com efeito, houve a manutenção da tendência de ampliação dos investimentos em políticas sociais que, d</w:t>
      </w:r>
      <w:r w:rsidRPr="00FA30CD">
        <w:t>e acordo com Pereirinha e Carolo (2006), saltou de 1,8% em 1953 para 5% em 1973.</w:t>
      </w:r>
    </w:p>
    <w:p w14:paraId="14965A69" w14:textId="77777777" w:rsidR="009F70C1" w:rsidRPr="00FA30CD" w:rsidRDefault="009F70C1" w:rsidP="006B56D4">
      <w:pPr>
        <w:spacing w:after="0" w:line="360" w:lineRule="auto"/>
        <w:ind w:firstLine="720"/>
        <w:jc w:val="both"/>
      </w:pPr>
      <w:r w:rsidRPr="00FA30CD">
        <w:t>Nesse sentido, a política habitacional passou a figurar entre as prioridades desse redesenho do Estado português. Uma das suas primeiras ações foi a criação do Fundo de Fomento da Habitação (FFH) em 1969, que tinha o objetivo de racionalizar as iniciativas concernentes à temática e promover o acesso à moradia, especialmente, para os segmentos mais pauperizados da população. Para além das mudanças institucionais, no esteio da ‘primavera marcelista’ estabeleceu-se uma maior abertura para debates em torno das contradições existentes na sociedade portuguesa. Conf</w:t>
      </w:r>
      <w:r>
        <w:t>orme analisa Pinto, (2013</w:t>
      </w:r>
      <w:r w:rsidRPr="00FA30CD">
        <w:t xml:space="preserve">) uma nova geração de membros da burocracia do estado emergiu, gradativamente, </w:t>
      </w:r>
      <w:r w:rsidRPr="00FA30CD">
        <w:lastRenderedPageBreak/>
        <w:t xml:space="preserve">alinhada com as perspectivas teóricas e técnicas modernizadoras da Administração Pública. No tocante às políticas sociais, a sua formação afastava-se da perspectiva caritativa e afirmava a sua compreensão enquanto instrumento de efetivação de direitos sociais. </w:t>
      </w:r>
    </w:p>
    <w:p w14:paraId="14965A6A" w14:textId="77777777" w:rsidR="009F70C1" w:rsidRPr="00FA30CD" w:rsidRDefault="009F70C1" w:rsidP="006B56D4">
      <w:pPr>
        <w:spacing w:after="0" w:line="360" w:lineRule="auto"/>
        <w:ind w:firstLine="720"/>
        <w:jc w:val="both"/>
      </w:pPr>
      <w:r w:rsidRPr="00FA30CD">
        <w:t>Essas transformações contribuíram sobremaneira para a politização da questão urbana, à medida em</w:t>
      </w:r>
      <w:r>
        <w:t xml:space="preserve"> que elas provocavam o</w:t>
      </w:r>
      <w:r w:rsidRPr="00FA30CD">
        <w:t xml:space="preserve"> debate em torno daquilo que Lefebvre (2013, p. 113) e Harvey (2014, p. 28) denominaram como o direito à cidade. Esse processo galvanizou as ações socioinstitucionais de natureza estatal, a intervenção de grupos oposicionistas da sociedade civil e a permanente insatisfação dos segmentos mais pauperizados das classes subalternas com o seu acesso precário à habitação. Tal fenômeno corrobora as formulações desenvolvidas por Castells (1989, p. 24) no momento em que este analisou o papel catalisador exercido pelo Estado quando da sua intervenção nos conflitos originados nas contradições socioespaciais urbanas no capitalismo monopolista. Assim, ele afirma que:</w:t>
      </w:r>
    </w:p>
    <w:p w14:paraId="14965A6B" w14:textId="136F3E78" w:rsidR="009F70C1" w:rsidRDefault="009F70C1" w:rsidP="006B56D4">
      <w:pPr>
        <w:spacing w:after="0" w:line="240" w:lineRule="auto"/>
        <w:ind w:left="2268"/>
        <w:jc w:val="both"/>
      </w:pPr>
      <w:r w:rsidRPr="00FA30CD">
        <w:rPr>
          <w:sz w:val="20"/>
          <w:szCs w:val="20"/>
        </w:rPr>
        <w:t>(...) as contradições que se desenvolvem na esfera do consumo coletivo, os conflitos que nascem da organização urbana, tendem a se relacionar, mais ou menos diretamente, com a gestão do Estado e com as orientações políticas subjacentes. De fato, pois, a intervenção do Estado no setor urbano, em vez de superar a crise habitacional e de equipamentos criada pela contradição inerente à urbanização capitalista, politiza e globaliza os conflitos urbanos, ao articular diretamente as condições materiais de organização da vida cotidiana e do conteúdo de classe das políticas do Estado.</w:t>
      </w:r>
    </w:p>
    <w:p w14:paraId="28EDBDF8" w14:textId="77777777" w:rsidR="006B56D4" w:rsidRPr="00FA30CD" w:rsidRDefault="006B56D4" w:rsidP="006B56D4">
      <w:pPr>
        <w:spacing w:after="0" w:line="240" w:lineRule="auto"/>
        <w:ind w:left="2268"/>
        <w:jc w:val="both"/>
      </w:pPr>
    </w:p>
    <w:p w14:paraId="14965A6C" w14:textId="79A1279D" w:rsidR="009F70C1" w:rsidRPr="006B56D4" w:rsidRDefault="009F70C1" w:rsidP="006B56D4">
      <w:pPr>
        <w:pStyle w:val="ListParagraph"/>
        <w:numPr>
          <w:ilvl w:val="0"/>
          <w:numId w:val="3"/>
        </w:numPr>
        <w:ind w:left="284" w:hanging="284"/>
        <w:jc w:val="both"/>
        <w:rPr>
          <w:b/>
        </w:rPr>
      </w:pPr>
      <w:r w:rsidRPr="006B56D4">
        <w:rPr>
          <w:b/>
        </w:rPr>
        <w:t>O Serviço de Apoio Ambulatorial Local: a política habitacional da Revolução dos Cravos.</w:t>
      </w:r>
    </w:p>
    <w:p w14:paraId="14965A6D" w14:textId="2E4CAAE8" w:rsidR="009F70C1" w:rsidRDefault="009F70C1" w:rsidP="006B56D4">
      <w:pPr>
        <w:spacing w:after="0" w:line="360" w:lineRule="auto"/>
        <w:ind w:firstLine="720"/>
        <w:jc w:val="both"/>
      </w:pPr>
      <w:r w:rsidRPr="00FA30CD">
        <w:t>A queda do Estado Novo no dia 25 de abril de 1974 proporcionada por um levante militar protagonizado por oficiais descontentes com o regime, em particular, com a sua condução da questão colonial</w:t>
      </w:r>
      <w:r>
        <w:t>,</w:t>
      </w:r>
      <w:r w:rsidRPr="00FA30CD">
        <w:t xml:space="preserve"> produziu efeitos imediatos no campo da mobilização popular. A ação exitosa do Movimento das Forças Armadas (MFA) teve como consequência a descompressão do ímpeto de participação política das classes subalternas. Já nas primeiras horas após a sublevação, milhares de pessoas saíram às ruas de Lisboa para expressarem o seu apoio aos militares rebelados, gesto que se repetiu em outras cidades do país.</w:t>
      </w:r>
    </w:p>
    <w:p w14:paraId="14965A6E" w14:textId="77777777" w:rsidR="009F70C1" w:rsidRPr="00FA30CD" w:rsidRDefault="009F70C1" w:rsidP="006B56D4">
      <w:pPr>
        <w:spacing w:after="0" w:line="360" w:lineRule="auto"/>
        <w:ind w:firstLine="720"/>
        <w:jc w:val="both"/>
      </w:pPr>
      <w:r w:rsidRPr="00FA30CD">
        <w:t xml:space="preserve">Embora os militares do MFA considerassem as corporações policiais (Guarda Nacional Republicana, Polícia de Segurança Pública, Guarda Fiscal e a PIDE-DGS) como potenciais núcleos da reação ao movimento militar, tal expectativa não se concretizou. Conforme analisa </w:t>
      </w:r>
      <w:proofErr w:type="spellStart"/>
      <w:r w:rsidRPr="00FA30CD">
        <w:t>Cerezales</w:t>
      </w:r>
      <w:proofErr w:type="spellEnd"/>
      <w:r w:rsidRPr="00FA30CD">
        <w:t xml:space="preserve"> (2003), no período subsequente, os membros </w:t>
      </w:r>
      <w:r w:rsidRPr="00FA30CD">
        <w:lastRenderedPageBreak/>
        <w:t>dessas instituições notabilizaram-se pela sua paralisia, fruto da disparidade de forças em comparação com as Forças Armadas</w:t>
      </w:r>
      <w:r>
        <w:t>. Simultaneamente, a adoção de</w:t>
      </w:r>
      <w:r w:rsidRPr="00FA30CD">
        <w:t xml:space="preserve"> medidas de reorganização promovidas pela Junta de Salvação Nacional, que tiveram como marco inicial a dissolução, em 13 de maio de 1974, da Companhia Móvel da Polícia de Segurança Pública, que era utilizada como polícia de choque</w:t>
      </w:r>
      <w:r>
        <w:t>, concorreram para o imediato desmonte do aparato repressivo estabelecido durante a ditadura</w:t>
      </w:r>
      <w:r w:rsidRPr="00FA30CD">
        <w:t xml:space="preserve">. </w:t>
      </w:r>
    </w:p>
    <w:p w14:paraId="14965A6F" w14:textId="77777777" w:rsidR="009F70C1" w:rsidRPr="00FA30CD" w:rsidRDefault="009F70C1" w:rsidP="006B56D4">
      <w:pPr>
        <w:spacing w:after="0" w:line="360" w:lineRule="auto"/>
        <w:ind w:firstLine="720"/>
        <w:jc w:val="both"/>
      </w:pPr>
      <w:r w:rsidRPr="00FA30CD">
        <w:t xml:space="preserve">Esse cenário contribuiu para que as ações radicalizadas de indivíduos e grupos contra edifícios públicos e privados que abrigavam instituições </w:t>
      </w:r>
      <w:r>
        <w:t>ligadas ao Estado Novo se estabelecessem enquanto repertório de ação</w:t>
      </w:r>
      <w:r w:rsidRPr="00FA30CD">
        <w:t>. Ao participarem dessa dinâmica, os movimentos sociais urbanos converteram-se, gradativamente, em um sujeito político estratégico no contexto pós-25 de Abril. A formação das ‘comissões de moradores’ como mecanismo de organização territorial de base e a realização de ocupações de propriedades públicas e privadas pelos moradores dos ‘bairros de lata’ e de outros territórios precarizados da região foram as suas principais formas de ação. Para tanto, houve interlocuções entre os próprios moradores e destes com os ‘aliados externos’, como estudantes, padres progressistas, assistentes sociais, professores e organizações políticas de esquerda.</w:t>
      </w:r>
      <w:r w:rsidRPr="00FA30CD">
        <w:rPr>
          <w:color w:val="000000"/>
        </w:rPr>
        <w:t xml:space="preserve"> </w:t>
      </w:r>
    </w:p>
    <w:p w14:paraId="14965A70" w14:textId="77777777" w:rsidR="009F70C1" w:rsidRPr="00FA30CD" w:rsidRDefault="009F70C1" w:rsidP="006B56D4">
      <w:pPr>
        <w:spacing w:after="0" w:line="360" w:lineRule="auto"/>
        <w:ind w:firstLine="708"/>
        <w:jc w:val="both"/>
      </w:pPr>
      <w:r w:rsidRPr="00FA30CD">
        <w:rPr>
          <w:color w:val="000000"/>
        </w:rPr>
        <w:t>A criação da Secretaria de Estado da Habitação e Urbanismo no ato da posse do Primeiro Governo Provisório em 16 de maio de 1974 demonstra</w:t>
      </w:r>
      <w:r w:rsidR="004060BA">
        <w:rPr>
          <w:color w:val="000000"/>
        </w:rPr>
        <w:t xml:space="preserve"> que a questão habitacional esteve</w:t>
      </w:r>
      <w:r w:rsidRPr="00FA30CD">
        <w:rPr>
          <w:color w:val="000000"/>
        </w:rPr>
        <w:t xml:space="preserve"> entre as prioridades das novas autoridades portuguesas. Para o comando do órgão foi nomeado o arquiteto Nuno Portas, conhecido pela defesa da participação popular no desenvolvimento das Políticas Urbana e Habitacional. Certamente, a sua perspectiva democratizadora ia ao encontro da atmosfera política estabelecida durante o pós 25 de abril. </w:t>
      </w:r>
    </w:p>
    <w:p w14:paraId="14965A71" w14:textId="77777777" w:rsidR="009F70C1" w:rsidRPr="00FA30CD" w:rsidRDefault="009F70C1" w:rsidP="006B56D4">
      <w:pPr>
        <w:spacing w:after="0" w:line="360" w:lineRule="auto"/>
        <w:ind w:firstLine="720"/>
        <w:jc w:val="both"/>
        <w:rPr>
          <w:color w:val="000000"/>
        </w:rPr>
      </w:pPr>
      <w:r w:rsidRPr="00FA30CD">
        <w:rPr>
          <w:color w:val="000000"/>
        </w:rPr>
        <w:t>As graves dificuldades orçamentárias e de recursos humanos que caracterizavam o aparato público herdado do Estado Novo tornavam inócuas as possibilidades de uma robusta intervenção que resolvesse no curto prazo a questão habitacional. Ademais, a crise da indústria da construção civil, motivada pelo aumento dos preços</w:t>
      </w:r>
      <w:r>
        <w:rPr>
          <w:color w:val="000000"/>
        </w:rPr>
        <w:t xml:space="preserve"> dos seus insumos em função da c</w:t>
      </w:r>
      <w:r w:rsidRPr="00FA30CD">
        <w:rPr>
          <w:color w:val="000000"/>
        </w:rPr>
        <w:t>rise do petróleo</w:t>
      </w:r>
      <w:r>
        <w:rPr>
          <w:color w:val="000000"/>
        </w:rPr>
        <w:t xml:space="preserve"> (1973-1975)</w:t>
      </w:r>
      <w:r w:rsidRPr="00FA30CD">
        <w:rPr>
          <w:color w:val="000000"/>
        </w:rPr>
        <w:t xml:space="preserve"> e, também, pela insegurança jurídica despertada pelas ocupações também se apresentava como um fator de </w:t>
      </w:r>
      <w:proofErr w:type="spellStart"/>
      <w:r w:rsidRPr="00FA30CD">
        <w:rPr>
          <w:color w:val="000000"/>
        </w:rPr>
        <w:t>obstaculização</w:t>
      </w:r>
      <w:proofErr w:type="spellEnd"/>
      <w:r w:rsidRPr="00FA30CD">
        <w:rPr>
          <w:color w:val="000000"/>
        </w:rPr>
        <w:t xml:space="preserve"> dos investimentos na políti</w:t>
      </w:r>
      <w:r>
        <w:rPr>
          <w:color w:val="000000"/>
        </w:rPr>
        <w:t>ca de habitação. Desse modo</w:t>
      </w:r>
      <w:r w:rsidRPr="00FA30CD">
        <w:rPr>
          <w:color w:val="000000"/>
        </w:rPr>
        <w:t xml:space="preserve">, as lutas sociais crescentes em torno deste tema colocavam a necessidade de uma resposta efetiva das </w:t>
      </w:r>
      <w:r w:rsidRPr="00FA30CD">
        <w:rPr>
          <w:color w:val="000000"/>
        </w:rPr>
        <w:lastRenderedPageBreak/>
        <w:t>novas autoridades.</w:t>
      </w:r>
    </w:p>
    <w:p w14:paraId="14965A72" w14:textId="77777777" w:rsidR="009F70C1" w:rsidRDefault="009F70C1" w:rsidP="006B56D4">
      <w:pPr>
        <w:spacing w:after="0" w:line="360" w:lineRule="auto"/>
        <w:ind w:firstLine="720"/>
        <w:jc w:val="both"/>
        <w:rPr>
          <w:color w:val="000000"/>
        </w:rPr>
      </w:pPr>
      <w:r w:rsidRPr="00FA30CD">
        <w:rPr>
          <w:color w:val="000000"/>
        </w:rPr>
        <w:t>Esse foi o contexto da criação em julho de 1974 do Serviço de Apoio Ambulatorial Legal (SAAL). Tratava-se de uma política pública destinada a promover melhorias urbanísticas nos territórios pauperizados, sobretudo aqueles que</w:t>
      </w:r>
      <w:r>
        <w:rPr>
          <w:color w:val="000000"/>
        </w:rPr>
        <w:t xml:space="preserve"> abrigavam os assentamento</w:t>
      </w:r>
      <w:r w:rsidRPr="00FA30CD">
        <w:rPr>
          <w:color w:val="000000"/>
        </w:rPr>
        <w:t>s</w:t>
      </w:r>
      <w:r>
        <w:rPr>
          <w:color w:val="000000"/>
        </w:rPr>
        <w:t xml:space="preserve"> informais, bem como, à</w:t>
      </w:r>
      <w:r w:rsidRPr="00FA30CD">
        <w:rPr>
          <w:color w:val="000000"/>
        </w:rPr>
        <w:t xml:space="preserve"> construção de unidades habitacionais. </w:t>
      </w:r>
      <w:r>
        <w:rPr>
          <w:color w:val="000000"/>
        </w:rPr>
        <w:t>Como forma de organização institucional ela foi regionalizada, compreendendo o S</w:t>
      </w:r>
      <w:r w:rsidR="009952EE">
        <w:rPr>
          <w:color w:val="000000"/>
        </w:rPr>
        <w:t>AAL Norte, o SAAL Lisboa/Centro-</w:t>
      </w:r>
      <w:r>
        <w:rPr>
          <w:color w:val="000000"/>
        </w:rPr>
        <w:t>Sul e o SAAL Algarve.</w:t>
      </w:r>
    </w:p>
    <w:p w14:paraId="14965A73" w14:textId="77777777" w:rsidR="009F70C1" w:rsidRPr="00FA30CD" w:rsidRDefault="009F70C1" w:rsidP="006B56D4">
      <w:pPr>
        <w:spacing w:after="0" w:line="360" w:lineRule="auto"/>
        <w:ind w:firstLine="720"/>
        <w:jc w:val="both"/>
        <w:rPr>
          <w:color w:val="000000"/>
        </w:rPr>
      </w:pPr>
      <w:r>
        <w:rPr>
          <w:color w:val="000000"/>
        </w:rPr>
        <w:t xml:space="preserve"> O programa</w:t>
      </w:r>
      <w:r w:rsidRPr="00FA30CD">
        <w:rPr>
          <w:color w:val="000000"/>
        </w:rPr>
        <w:t xml:space="preserve"> baseava-se em dois eixos: o estímulo à organização </w:t>
      </w:r>
      <w:r w:rsidR="009952EE">
        <w:rPr>
          <w:color w:val="000000"/>
        </w:rPr>
        <w:t>coletiva</w:t>
      </w:r>
      <w:r>
        <w:rPr>
          <w:color w:val="000000"/>
        </w:rPr>
        <w:t xml:space="preserve"> através da formação das comissões de moradores e cooperativas de c</w:t>
      </w:r>
      <w:r w:rsidR="009952EE">
        <w:rPr>
          <w:color w:val="000000"/>
        </w:rPr>
        <w:t>onstrução, a realização de mutirões</w:t>
      </w:r>
      <w:r w:rsidRPr="00FA30CD">
        <w:rPr>
          <w:color w:val="000000"/>
        </w:rPr>
        <w:t xml:space="preserve"> para a efetivação das intervenções promovidas pelo programa e a criação das Brigadas Técnicas que reuniram profissionais de diferentes áreas. As ações eram financiadas pelo Fundo de Fomento da Habitação e organizadas de acordo com as discussões realizadas entre os moradores e os técnicos.</w:t>
      </w:r>
    </w:p>
    <w:p w14:paraId="14965A74" w14:textId="77777777" w:rsidR="009F70C1" w:rsidRPr="00FA30CD" w:rsidRDefault="009F70C1" w:rsidP="006B56D4">
      <w:pPr>
        <w:spacing w:after="0" w:line="360" w:lineRule="auto"/>
        <w:ind w:firstLine="720"/>
        <w:jc w:val="both"/>
      </w:pPr>
      <w:r w:rsidRPr="00FA30CD">
        <w:rPr>
          <w:color w:val="000000"/>
        </w:rPr>
        <w:t>Há um longo debate entre os intelectuais portugueses acerca do pa</w:t>
      </w:r>
      <w:r>
        <w:rPr>
          <w:color w:val="000000"/>
        </w:rPr>
        <w:t>pel exercido pelo SAAL. Autores que compreendiam a iniciativa como uma estratégia de controle social, como Ferreira (1975), afirmam que ele foi um instrumento</w:t>
      </w:r>
      <w:r w:rsidRPr="00FA30CD">
        <w:rPr>
          <w:color w:val="000000"/>
        </w:rPr>
        <w:t xml:space="preserve"> que buscava diluir</w:t>
      </w:r>
      <w:r>
        <w:rPr>
          <w:color w:val="000000"/>
        </w:rPr>
        <w:t xml:space="preserve"> e institucionalizar</w:t>
      </w:r>
      <w:r w:rsidRPr="00FA30CD">
        <w:rPr>
          <w:color w:val="000000"/>
        </w:rPr>
        <w:t xml:space="preserve"> o ímpeto contestatório daqueles que tinham o seu direito à moradia digna violado. Ao mesmo tempo, </w:t>
      </w:r>
      <w:r>
        <w:rPr>
          <w:color w:val="000000"/>
        </w:rPr>
        <w:t>entusiastas do programa</w:t>
      </w:r>
      <w:r w:rsidRPr="00FA30CD">
        <w:rPr>
          <w:color w:val="000000"/>
        </w:rPr>
        <w:t>, entre os quais destaca-se o próprio Nuno Portas</w:t>
      </w:r>
      <w:r>
        <w:rPr>
          <w:color w:val="000000"/>
        </w:rPr>
        <w:t xml:space="preserve"> (1975) e (1979)</w:t>
      </w:r>
      <w:r w:rsidRPr="00FA30CD">
        <w:rPr>
          <w:color w:val="000000"/>
        </w:rPr>
        <w:t xml:space="preserve">, posicionaram-se na defesa do modelo </w:t>
      </w:r>
      <w:r>
        <w:rPr>
          <w:color w:val="000000"/>
        </w:rPr>
        <w:t>adotado, situando-o a partir</w:t>
      </w:r>
      <w:r w:rsidRPr="00FA30CD">
        <w:rPr>
          <w:color w:val="000000"/>
        </w:rPr>
        <w:t xml:space="preserve"> particularidades presentes na conjuntura que emergiu imediatamente após a queda do Estado Novo. </w:t>
      </w:r>
    </w:p>
    <w:p w14:paraId="14965A75" w14:textId="77777777" w:rsidR="009F70C1" w:rsidRPr="00FA30CD" w:rsidRDefault="009F70C1" w:rsidP="006B56D4">
      <w:pPr>
        <w:spacing w:after="0" w:line="360" w:lineRule="auto"/>
        <w:ind w:firstLine="720"/>
        <w:jc w:val="both"/>
      </w:pPr>
      <w:r w:rsidRPr="00FA30CD">
        <w:rPr>
          <w:color w:val="000000"/>
        </w:rPr>
        <w:t>Diante desta polêmica, compreendemos qu</w:t>
      </w:r>
      <w:r>
        <w:rPr>
          <w:color w:val="000000"/>
        </w:rPr>
        <w:t xml:space="preserve">e o SAAL </w:t>
      </w:r>
      <w:r w:rsidRPr="00FA30CD">
        <w:rPr>
          <w:color w:val="000000"/>
        </w:rPr>
        <w:t xml:space="preserve"> expr</w:t>
      </w:r>
      <w:r>
        <w:rPr>
          <w:color w:val="000000"/>
        </w:rPr>
        <w:t>essou aquilo que Netto (1993</w:t>
      </w:r>
      <w:r w:rsidRPr="00FA30CD">
        <w:rPr>
          <w:color w:val="000000"/>
        </w:rPr>
        <w:t>) afirma ser o caráter contraditório das políticas sociais que emergiram no contexto do capitalismo monopolista. Ele está alicerçado na viabilização do atendimento parcial das demandas das classes subalternas a partir da conformação de uma cadeia produtiva que, por outro lado, responde às necessidades de valorização do capital controlado pelos monopólios capitalistas. Essa dinâmica estabelece a objetividade sobre a qual se</w:t>
      </w:r>
      <w:r>
        <w:rPr>
          <w:color w:val="000000"/>
        </w:rPr>
        <w:t xml:space="preserve"> ancora</w:t>
      </w:r>
      <w:r w:rsidRPr="00FA30CD">
        <w:rPr>
          <w:color w:val="000000"/>
        </w:rPr>
        <w:t xml:space="preserve">, de acordo com </w:t>
      </w:r>
      <w:proofErr w:type="spellStart"/>
      <w:r w:rsidRPr="00FA30CD">
        <w:rPr>
          <w:color w:val="000000"/>
        </w:rPr>
        <w:t>Pastorini</w:t>
      </w:r>
      <w:proofErr w:type="spellEnd"/>
      <w:r w:rsidRPr="00FA30CD">
        <w:rPr>
          <w:color w:val="000000"/>
        </w:rPr>
        <w:t xml:space="preserve"> (2006), a dialética entre concessão e conquista no âmbito das políticas sociais. Nesse sentido, podemos afirmar que o SAAL foi uma síntese produzida entre a manutenção da esfera produtiva capitalista no âmbito da construção civil e o crescente ímpeto de contestação das classes subalternas urbanas em um p</w:t>
      </w:r>
      <w:r>
        <w:rPr>
          <w:color w:val="000000"/>
        </w:rPr>
        <w:t>eríodo no qual a hegemonia das classes dominantes lusitanas foi profundamente questionada</w:t>
      </w:r>
      <w:r w:rsidRPr="00FA30CD">
        <w:rPr>
          <w:color w:val="000000"/>
        </w:rPr>
        <w:t>.  </w:t>
      </w:r>
    </w:p>
    <w:p w14:paraId="14965A76" w14:textId="77777777" w:rsidR="009F70C1" w:rsidRDefault="009F70C1" w:rsidP="006B56D4">
      <w:pPr>
        <w:spacing w:after="0" w:line="360" w:lineRule="auto"/>
        <w:ind w:firstLine="720"/>
        <w:jc w:val="both"/>
        <w:rPr>
          <w:color w:val="000000"/>
        </w:rPr>
      </w:pPr>
      <w:r>
        <w:rPr>
          <w:color w:val="000000"/>
        </w:rPr>
        <w:lastRenderedPageBreak/>
        <w:t>A</w:t>
      </w:r>
      <w:r w:rsidRPr="00FA30CD">
        <w:rPr>
          <w:color w:val="000000"/>
        </w:rPr>
        <w:t xml:space="preserve"> perspectiva </w:t>
      </w:r>
      <w:proofErr w:type="spellStart"/>
      <w:r w:rsidRPr="00FA30CD">
        <w:rPr>
          <w:color w:val="000000"/>
        </w:rPr>
        <w:t>participacionista</w:t>
      </w:r>
      <w:proofErr w:type="spellEnd"/>
      <w:r w:rsidRPr="00FA30CD">
        <w:rPr>
          <w:color w:val="000000"/>
        </w:rPr>
        <w:t xml:space="preserve"> nele previsto era uma inovação político-institucional, pois tratava-se de mobilizar coletivamente grupos pertencentes a uma classe social historicamente alijada dos mecanismos formais de participação política. Pinto (2013) afirma que ao longo das transformações produzidas com a Revolução dos Cravos, a exig</w:t>
      </w:r>
      <w:r>
        <w:rPr>
          <w:color w:val="000000"/>
        </w:rPr>
        <w:t>ência em torno da formação das comissões de m</w:t>
      </w:r>
      <w:r w:rsidRPr="00FA30CD">
        <w:rPr>
          <w:color w:val="000000"/>
        </w:rPr>
        <w:t>oradores para os territórios estabelecerem convênios com o programa contribuiu com a ampliação da organização coletiva e com o aprendizado político das classes subalternas urbanas. </w:t>
      </w:r>
    </w:p>
    <w:p w14:paraId="14965A77" w14:textId="77777777" w:rsidR="009F70C1" w:rsidRDefault="009F70C1" w:rsidP="006B56D4">
      <w:pPr>
        <w:spacing w:after="0" w:line="360" w:lineRule="auto"/>
        <w:ind w:firstLine="720"/>
        <w:jc w:val="both"/>
        <w:rPr>
          <w:color w:val="000000"/>
        </w:rPr>
      </w:pPr>
      <w:r>
        <w:rPr>
          <w:color w:val="000000"/>
        </w:rPr>
        <w:t>A crise de hegemonia</w:t>
      </w:r>
      <w:r w:rsidRPr="00FA30CD">
        <w:rPr>
          <w:color w:val="000000"/>
        </w:rPr>
        <w:t xml:space="preserve"> que se instalou nos contextos </w:t>
      </w:r>
      <w:proofErr w:type="spellStart"/>
      <w:r w:rsidRPr="00FA30CD">
        <w:rPr>
          <w:color w:val="000000"/>
        </w:rPr>
        <w:t>pré</w:t>
      </w:r>
      <w:proofErr w:type="spellEnd"/>
      <w:r w:rsidRPr="00FA30CD">
        <w:rPr>
          <w:color w:val="000000"/>
        </w:rPr>
        <w:t xml:space="preserve"> e pós 25 de abril atingiu tal envergadura que ela se espraiou para além da burocracia ligada às políticas sociais e atingiu para parcelas significativas das Forças Armadas que experimentaram a peculiar construção de uma direção política alternativa às suas imanentes funções de manutenção da ordem </w:t>
      </w:r>
      <w:r>
        <w:rPr>
          <w:color w:val="000000"/>
        </w:rPr>
        <w:t>social</w:t>
      </w:r>
      <w:r w:rsidRPr="00FA30CD">
        <w:rPr>
          <w:color w:val="000000"/>
        </w:rPr>
        <w:t>.</w:t>
      </w:r>
      <w:r>
        <w:rPr>
          <w:color w:val="000000"/>
        </w:rPr>
        <w:t xml:space="preserve">  </w:t>
      </w:r>
      <w:r w:rsidRPr="00FA30CD">
        <w:rPr>
          <w:color w:val="000000"/>
        </w:rPr>
        <w:t xml:space="preserve"> </w:t>
      </w:r>
    </w:p>
    <w:p w14:paraId="14965A78" w14:textId="1CCD7C40" w:rsidR="009F70C1" w:rsidRDefault="009F70C1" w:rsidP="006B56D4">
      <w:pPr>
        <w:spacing w:after="0" w:line="360" w:lineRule="auto"/>
        <w:ind w:firstLine="720"/>
        <w:jc w:val="both"/>
        <w:rPr>
          <w:color w:val="000000"/>
        </w:rPr>
      </w:pPr>
      <w:r>
        <w:rPr>
          <w:color w:val="000000"/>
        </w:rPr>
        <w:t>Com efeito, assim que as forças moderado-conservadoras que atuavam no contexto pós 25 de abril lograram estabelecer a direção política do processo aberto pela Revolução dos Cravos após os acontecimentos do 25 de novembro de 1975</w:t>
      </w:r>
      <w:r>
        <w:rPr>
          <w:rStyle w:val="FootnoteReference"/>
          <w:color w:val="000000"/>
        </w:rPr>
        <w:footnoteReference w:id="2"/>
      </w:r>
      <w:r>
        <w:rPr>
          <w:color w:val="000000"/>
        </w:rPr>
        <w:t>, o SAAL tornou-se um dos principais alvos de grupos políticos que advogavam em favor do que chamavam de “normalização” da vida social e política portuguesa. O argumento utilizado era o de que o programa fomentava a radicalização à esquerda das frações mais pauperizadas das classes subalternas urbanas.  Nesse contexto, a sede do SAAL-Norte, localizada no Porto, foi alvo de atentados à bomba produzidos por grupos de extrema direita</w:t>
      </w:r>
      <w:r>
        <w:rPr>
          <w:rStyle w:val="FootnoteReference"/>
          <w:color w:val="000000"/>
        </w:rPr>
        <w:footnoteReference w:id="3"/>
      </w:r>
      <w:r>
        <w:rPr>
          <w:color w:val="000000"/>
        </w:rPr>
        <w:t>. Diante das pressões políticas e dos seguidos cortes orçamentários, o programa foi oficialmente extinto em  27 de outubro de 1976.</w:t>
      </w:r>
    </w:p>
    <w:p w14:paraId="1919D87C" w14:textId="77777777" w:rsidR="006B56D4" w:rsidRDefault="006B56D4" w:rsidP="006B56D4">
      <w:pPr>
        <w:spacing w:after="0" w:line="360" w:lineRule="auto"/>
        <w:ind w:firstLine="720"/>
        <w:jc w:val="both"/>
        <w:rPr>
          <w:color w:val="000000"/>
        </w:rPr>
      </w:pPr>
    </w:p>
    <w:p w14:paraId="0C6960EC" w14:textId="77777777" w:rsidR="006B56D4" w:rsidRDefault="006B56D4" w:rsidP="006B56D4">
      <w:pPr>
        <w:spacing w:after="0" w:line="360" w:lineRule="auto"/>
        <w:ind w:firstLine="720"/>
        <w:jc w:val="both"/>
        <w:rPr>
          <w:color w:val="000000"/>
        </w:rPr>
      </w:pPr>
    </w:p>
    <w:p w14:paraId="4B6AD6BC" w14:textId="77777777" w:rsidR="006B56D4" w:rsidRPr="001A4573" w:rsidRDefault="006B56D4" w:rsidP="006B56D4">
      <w:pPr>
        <w:spacing w:after="0" w:line="360" w:lineRule="auto"/>
        <w:ind w:firstLine="720"/>
        <w:jc w:val="both"/>
        <w:rPr>
          <w:color w:val="000000"/>
        </w:rPr>
      </w:pPr>
    </w:p>
    <w:p w14:paraId="14965A79" w14:textId="77777777" w:rsidR="009F70C1" w:rsidRPr="00FA30CD" w:rsidRDefault="009F70C1" w:rsidP="006B56D4">
      <w:pPr>
        <w:pStyle w:val="ListParagraph"/>
        <w:numPr>
          <w:ilvl w:val="0"/>
          <w:numId w:val="3"/>
        </w:numPr>
        <w:spacing w:after="160" w:line="360" w:lineRule="auto"/>
        <w:ind w:left="284" w:hanging="284"/>
        <w:jc w:val="both"/>
        <w:rPr>
          <w:rFonts w:ascii="Times New Roman" w:eastAsia="Times New Roman" w:hAnsi="Times New Roman" w:cs="Times New Roman"/>
          <w:b/>
          <w:color w:val="000000"/>
          <w:sz w:val="24"/>
          <w:szCs w:val="24"/>
          <w:lang w:eastAsia="pt-BR"/>
        </w:rPr>
      </w:pPr>
      <w:r w:rsidRPr="00FA30CD">
        <w:rPr>
          <w:rFonts w:ascii="Times New Roman" w:eastAsia="Times New Roman" w:hAnsi="Times New Roman" w:cs="Times New Roman"/>
          <w:b/>
          <w:color w:val="000000"/>
          <w:sz w:val="24"/>
          <w:szCs w:val="24"/>
          <w:lang w:eastAsia="pt-BR"/>
        </w:rPr>
        <w:lastRenderedPageBreak/>
        <w:t>Considerações Finais:</w:t>
      </w:r>
    </w:p>
    <w:p w14:paraId="14965A7A" w14:textId="77777777" w:rsidR="009F70C1" w:rsidRDefault="009952EE" w:rsidP="006B56D4">
      <w:pPr>
        <w:spacing w:after="0" w:line="360" w:lineRule="auto"/>
        <w:ind w:firstLine="720"/>
        <w:jc w:val="both"/>
        <w:rPr>
          <w:color w:val="000000"/>
        </w:rPr>
      </w:pPr>
      <w:r>
        <w:rPr>
          <w:color w:val="000000"/>
        </w:rPr>
        <w:t>Esse</w:t>
      </w:r>
      <w:r w:rsidR="009F70C1" w:rsidRPr="00FA30CD">
        <w:rPr>
          <w:color w:val="000000"/>
        </w:rPr>
        <w:t xml:space="preserve"> foi um processo que demonstra a existência de contradições e disputas em torno da direção </w:t>
      </w:r>
      <w:proofErr w:type="spellStart"/>
      <w:r w:rsidR="009F70C1" w:rsidRPr="00FA30CD">
        <w:rPr>
          <w:color w:val="000000"/>
        </w:rPr>
        <w:t>ideopolítica</w:t>
      </w:r>
      <w:proofErr w:type="spellEnd"/>
      <w:r w:rsidR="009F70C1" w:rsidRPr="00FA30CD">
        <w:rPr>
          <w:color w:val="000000"/>
        </w:rPr>
        <w:t xml:space="preserve"> no interior das instituições que compõem o aparelho estatal a partir das transformações nele engendradas no contexto do capitalismo em sua fase monopolista. Certamente, esse fenômeno está limitado pela imanente condição do Estado enquanto instrumento de controle social pautado pelas classes dominantes. </w:t>
      </w:r>
    </w:p>
    <w:p w14:paraId="14965A7B" w14:textId="77777777" w:rsidR="009F70C1" w:rsidRDefault="009F70C1" w:rsidP="006B56D4">
      <w:pPr>
        <w:spacing w:after="0" w:line="360" w:lineRule="auto"/>
        <w:ind w:firstLine="720"/>
        <w:jc w:val="both"/>
        <w:rPr>
          <w:color w:val="000000"/>
        </w:rPr>
      </w:pPr>
      <w:r w:rsidRPr="00FA30CD">
        <w:rPr>
          <w:color w:val="000000"/>
        </w:rPr>
        <w:t xml:space="preserve">Contudo, é possível afirmarmos a existência de uma margem de manobra política que pode ser utilizada na construção de uma direção </w:t>
      </w:r>
      <w:proofErr w:type="spellStart"/>
      <w:r w:rsidRPr="00FA30CD">
        <w:rPr>
          <w:color w:val="000000"/>
        </w:rPr>
        <w:t>contrahegemônica</w:t>
      </w:r>
      <w:proofErr w:type="spellEnd"/>
      <w:r w:rsidRPr="00FA30CD">
        <w:rPr>
          <w:color w:val="000000"/>
        </w:rPr>
        <w:t xml:space="preserve"> pelos sujeitos que atuam nesses espaços institucionais. Essa autonomia relativa tende a ser ampliada nos momentos atravessados por crises de h</w:t>
      </w:r>
      <w:r w:rsidR="009952EE">
        <w:rPr>
          <w:color w:val="000000"/>
        </w:rPr>
        <w:t>egemonia</w:t>
      </w:r>
      <w:r>
        <w:rPr>
          <w:color w:val="000000"/>
        </w:rPr>
        <w:t xml:space="preserve"> (Gramsci:2002</w:t>
      </w:r>
      <w:r w:rsidRPr="00FA30CD">
        <w:rPr>
          <w:color w:val="000000"/>
        </w:rPr>
        <w:t xml:space="preserve">). </w:t>
      </w:r>
      <w:r>
        <w:rPr>
          <w:color w:val="000000"/>
        </w:rPr>
        <w:t xml:space="preserve">Nesse sentido, desenvolveu-se no âmbito do aparelho de estado português, no contexto pós 25 de abril de 1974, aquilo que </w:t>
      </w:r>
      <w:proofErr w:type="spellStart"/>
      <w:r>
        <w:rPr>
          <w:color w:val="000000"/>
        </w:rPr>
        <w:t>Winn</w:t>
      </w:r>
      <w:proofErr w:type="spellEnd"/>
      <w:r>
        <w:rPr>
          <w:color w:val="000000"/>
        </w:rPr>
        <w:t xml:space="preserve"> (2010) ao analisar o processo desencadeado pelo Governo Salvador Allende no Chile caracterizou como uma “revolução vinda de cima”. </w:t>
      </w:r>
    </w:p>
    <w:p w14:paraId="14965A7C" w14:textId="72F4FB00" w:rsidR="009F70C1" w:rsidRDefault="009F70C1" w:rsidP="006B56D4">
      <w:pPr>
        <w:spacing w:after="0" w:line="360" w:lineRule="auto"/>
        <w:ind w:firstLine="720"/>
        <w:jc w:val="both"/>
        <w:rPr>
          <w:color w:val="000000"/>
        </w:rPr>
      </w:pPr>
      <w:r w:rsidRPr="00FA30CD">
        <w:rPr>
          <w:color w:val="000000"/>
        </w:rPr>
        <w:t>Assim, a ocupação de postos chave nessas instituições por quadros intelectuais orgânicos vinculados ideológica e politicamente às classes subalternas pode convertê-las em vetores de politização à esquerda da dinâmica sociopolítica.  </w:t>
      </w:r>
      <w:r>
        <w:rPr>
          <w:color w:val="000000"/>
        </w:rPr>
        <w:t>Portanto, o SAAL</w:t>
      </w:r>
      <w:r w:rsidRPr="00FA30CD">
        <w:rPr>
          <w:color w:val="000000"/>
        </w:rPr>
        <w:t xml:space="preserve"> foi também uma das expressões da intensa crise dos fundamentos do Estado português</w:t>
      </w:r>
      <w:r>
        <w:rPr>
          <w:color w:val="000000"/>
        </w:rPr>
        <w:t xml:space="preserve"> no contexto revolucionário</w:t>
      </w:r>
      <w:r w:rsidRPr="00FA30CD">
        <w:rPr>
          <w:color w:val="000000"/>
        </w:rPr>
        <w:t xml:space="preserve"> ao condensar</w:t>
      </w:r>
      <w:r>
        <w:rPr>
          <w:color w:val="000000"/>
        </w:rPr>
        <w:t>,</w:t>
      </w:r>
      <w:r w:rsidRPr="00FA30CD">
        <w:rPr>
          <w:color w:val="000000"/>
        </w:rPr>
        <w:t xml:space="preserve"> dialeticamente</w:t>
      </w:r>
      <w:r>
        <w:rPr>
          <w:color w:val="000000"/>
        </w:rPr>
        <w:t>,</w:t>
      </w:r>
      <w:r w:rsidRPr="00FA30CD">
        <w:rPr>
          <w:color w:val="000000"/>
        </w:rPr>
        <w:t xml:space="preserve"> elementos de continuidade e ruptura no seu modus operandi político-institucional, estes últimos potencializados pela crescente tendência disruptiva presente  entre as frações mais pauperizadas das classes subalternas urbanas</w:t>
      </w:r>
      <w:r>
        <w:rPr>
          <w:color w:val="000000"/>
        </w:rPr>
        <w:t xml:space="preserve"> em Portugal</w:t>
      </w:r>
      <w:r w:rsidRPr="00FA30CD">
        <w:rPr>
          <w:color w:val="000000"/>
        </w:rPr>
        <w:t>.</w:t>
      </w:r>
    </w:p>
    <w:p w14:paraId="40701B55" w14:textId="77777777" w:rsidR="00240DDA" w:rsidRDefault="00240DDA" w:rsidP="006B56D4">
      <w:pPr>
        <w:spacing w:after="0" w:line="360" w:lineRule="auto"/>
        <w:ind w:firstLine="720"/>
        <w:jc w:val="both"/>
        <w:rPr>
          <w:color w:val="000000"/>
        </w:rPr>
      </w:pPr>
    </w:p>
    <w:p w14:paraId="1D7B42D0" w14:textId="3ACF5DEC" w:rsidR="006B56D4" w:rsidRDefault="00EE73F5" w:rsidP="00240DDA">
      <w:pPr>
        <w:spacing w:after="0" w:line="240" w:lineRule="auto"/>
        <w:jc w:val="both"/>
        <w:rPr>
          <w:color w:val="000000"/>
        </w:rPr>
      </w:pPr>
      <w:r w:rsidRPr="006B56D4">
        <w:rPr>
          <w:color w:val="000000"/>
        </w:rPr>
        <w:t>Referências</w:t>
      </w:r>
    </w:p>
    <w:p w14:paraId="48E2B4C0" w14:textId="77777777" w:rsidR="006B56D4" w:rsidRPr="006B56D4" w:rsidRDefault="006B56D4" w:rsidP="00240DDA">
      <w:pPr>
        <w:spacing w:after="0" w:line="240" w:lineRule="auto"/>
        <w:jc w:val="both"/>
        <w:rPr>
          <w:color w:val="000000"/>
        </w:rPr>
      </w:pPr>
    </w:p>
    <w:p w14:paraId="14965A7E" w14:textId="77777777" w:rsidR="00EE73F5" w:rsidRDefault="00EE73F5" w:rsidP="00240DDA">
      <w:pPr>
        <w:spacing w:after="0" w:line="240" w:lineRule="auto"/>
      </w:pPr>
      <w:r w:rsidRPr="006B56D4">
        <w:rPr>
          <w:lang w:val="fr-FR"/>
        </w:rPr>
        <w:t xml:space="preserve">ABRANTES, P. </w:t>
      </w:r>
      <w:r w:rsidRPr="006B56D4">
        <w:rPr>
          <w:b/>
          <w:bCs/>
          <w:lang w:val="fr-FR"/>
        </w:rPr>
        <w:t>La métropolisation au Portugal: processus et politiques spatiales</w:t>
      </w:r>
      <w:r w:rsidRPr="006B56D4">
        <w:rPr>
          <w:lang w:val="fr-FR"/>
        </w:rPr>
        <w:t xml:space="preserve">. </w:t>
      </w:r>
      <w:r w:rsidRPr="00A725BD">
        <w:t>Lisboa: CEG/UL - IGOT/UL, 2011.</w:t>
      </w:r>
    </w:p>
    <w:p w14:paraId="0B9D0B15" w14:textId="77777777" w:rsidR="006B56D4" w:rsidRPr="00A725BD" w:rsidRDefault="006B56D4" w:rsidP="00240DDA">
      <w:pPr>
        <w:spacing w:after="0" w:line="240" w:lineRule="auto"/>
      </w:pPr>
    </w:p>
    <w:p w14:paraId="14965A7F" w14:textId="77777777" w:rsidR="00EE73F5" w:rsidRDefault="00EE73F5" w:rsidP="00240DDA">
      <w:pPr>
        <w:spacing w:after="0" w:line="240" w:lineRule="auto"/>
      </w:pPr>
      <w:r w:rsidRPr="00A725BD">
        <w:t xml:space="preserve">ABREU, H. </w:t>
      </w:r>
      <w:r w:rsidRPr="006B56D4">
        <w:rPr>
          <w:b/>
          <w:bCs/>
        </w:rPr>
        <w:t>Para além dos direitos: Cidadania e hegemonia no mundo moderno</w:t>
      </w:r>
      <w:r w:rsidRPr="00A725BD">
        <w:rPr>
          <w:i/>
          <w:iCs/>
        </w:rPr>
        <w:t xml:space="preserve">. </w:t>
      </w:r>
      <w:r w:rsidRPr="00A725BD">
        <w:t>Rio de Janeiro: Editora UFRJ, 2008.</w:t>
      </w:r>
    </w:p>
    <w:p w14:paraId="100D831F" w14:textId="77777777" w:rsidR="006B56D4" w:rsidRPr="00A725BD" w:rsidRDefault="006B56D4" w:rsidP="00240DDA">
      <w:pPr>
        <w:spacing w:after="0" w:line="240" w:lineRule="auto"/>
      </w:pPr>
    </w:p>
    <w:p w14:paraId="14965A80" w14:textId="716BE58B" w:rsidR="00EE73F5" w:rsidRDefault="00EE73F5" w:rsidP="00240DDA">
      <w:pPr>
        <w:spacing w:after="0" w:line="240" w:lineRule="auto"/>
      </w:pPr>
      <w:r w:rsidRPr="00A725BD">
        <w:t xml:space="preserve">AGAREZ, R. C. (org.). </w:t>
      </w:r>
      <w:r w:rsidRPr="006B56D4">
        <w:rPr>
          <w:b/>
          <w:bCs/>
        </w:rPr>
        <w:t>Habitação: 100 anos de políticas públicas em Portugal (1918-2018</w:t>
      </w:r>
      <w:r w:rsidRPr="00A725BD">
        <w:rPr>
          <w:i/>
          <w:iCs/>
        </w:rPr>
        <w:t>).</w:t>
      </w:r>
      <w:r w:rsidRPr="00A725BD">
        <w:t xml:space="preserve"> Lisboa: IHRU, 2018.</w:t>
      </w:r>
    </w:p>
    <w:p w14:paraId="0D2D104B" w14:textId="77777777" w:rsidR="006B56D4" w:rsidRPr="00A725BD" w:rsidRDefault="006B56D4" w:rsidP="00240DDA">
      <w:pPr>
        <w:spacing w:after="0" w:line="240" w:lineRule="auto"/>
      </w:pPr>
    </w:p>
    <w:p w14:paraId="14965A81" w14:textId="77777777" w:rsidR="00EE73F5" w:rsidRDefault="00EE73F5" w:rsidP="00240DDA">
      <w:pPr>
        <w:spacing w:after="0" w:line="240" w:lineRule="auto"/>
      </w:pPr>
      <w:r w:rsidRPr="00A725BD">
        <w:t xml:space="preserve">AMARO, R. R. </w:t>
      </w:r>
      <w:r w:rsidRPr="006B56D4">
        <w:rPr>
          <w:b/>
          <w:bCs/>
        </w:rPr>
        <w:t>O Salazarismo na lógica do capitalismo em Portugal</w:t>
      </w:r>
      <w:r w:rsidRPr="00A725BD">
        <w:t xml:space="preserve">. </w:t>
      </w:r>
      <w:r w:rsidRPr="006B56D4">
        <w:t>Análise Social, Lisboa, v.18(72), 1982.</w:t>
      </w:r>
    </w:p>
    <w:p w14:paraId="0C227C9A" w14:textId="77777777" w:rsidR="006B56D4" w:rsidRDefault="006B56D4" w:rsidP="00240DDA">
      <w:pPr>
        <w:spacing w:after="0" w:line="240" w:lineRule="auto"/>
      </w:pPr>
    </w:p>
    <w:p w14:paraId="15B86E18" w14:textId="77777777" w:rsidR="006B56D4" w:rsidRPr="006B56D4" w:rsidRDefault="006B56D4" w:rsidP="00240DDA">
      <w:pPr>
        <w:spacing w:after="0" w:line="240" w:lineRule="auto"/>
      </w:pPr>
    </w:p>
    <w:p w14:paraId="14965A82" w14:textId="77777777" w:rsidR="00EE73F5" w:rsidRDefault="00EE73F5" w:rsidP="00240DDA">
      <w:pPr>
        <w:spacing w:after="0" w:line="240" w:lineRule="auto"/>
      </w:pPr>
      <w:r>
        <w:lastRenderedPageBreak/>
        <w:t>DA SILVA</w:t>
      </w:r>
      <w:r w:rsidRPr="00A725BD">
        <w:t>, C.</w:t>
      </w:r>
      <w:r>
        <w:t xml:space="preserve"> A.</w:t>
      </w:r>
      <w:r w:rsidRPr="00A725BD">
        <w:t xml:space="preserve"> </w:t>
      </w:r>
      <w:r w:rsidRPr="006B56D4">
        <w:rPr>
          <w:b/>
          <w:bCs/>
          <w:iCs/>
        </w:rPr>
        <w:t>Os caminhos e descaminhos da Política de Habitação em Portugal e no Brasil no contexto de crise econômica do início do século XXI</w:t>
      </w:r>
      <w:r w:rsidRPr="00A725BD">
        <w:t>. Tese de Doutorado em Serviço Social. Programa de Pós-Graduação em Serviço Social da PUC-RJ. 2015.</w:t>
      </w:r>
    </w:p>
    <w:p w14:paraId="2723891E" w14:textId="77777777" w:rsidR="006B56D4" w:rsidRPr="00A725BD" w:rsidRDefault="006B56D4" w:rsidP="00240DDA">
      <w:pPr>
        <w:spacing w:after="0" w:line="240" w:lineRule="auto"/>
      </w:pPr>
    </w:p>
    <w:p w14:paraId="14965A83" w14:textId="77777777" w:rsidR="00EE73F5" w:rsidRDefault="00EE73F5" w:rsidP="00240DDA">
      <w:pPr>
        <w:spacing w:after="0" w:line="240" w:lineRule="auto"/>
      </w:pPr>
      <w:r w:rsidRPr="00A725BD">
        <w:t xml:space="preserve">AUGUSTO, C. F. </w:t>
      </w:r>
      <w:r w:rsidRPr="006B56D4">
        <w:rPr>
          <w:b/>
          <w:bCs/>
        </w:rPr>
        <w:t>A Revolução Portuguesa</w:t>
      </w:r>
      <w:r w:rsidRPr="00A725BD">
        <w:rPr>
          <w:i/>
          <w:iCs/>
        </w:rPr>
        <w:t>.</w:t>
      </w:r>
      <w:r w:rsidRPr="00A725BD">
        <w:t xml:space="preserve"> São Paulo: Editora UNESP, 2012.</w:t>
      </w:r>
    </w:p>
    <w:p w14:paraId="307AD9E1" w14:textId="77777777" w:rsidR="006B56D4" w:rsidRPr="00A725BD" w:rsidRDefault="006B56D4" w:rsidP="00240DDA">
      <w:pPr>
        <w:spacing w:after="0" w:line="240" w:lineRule="auto"/>
      </w:pPr>
    </w:p>
    <w:p w14:paraId="14965A84" w14:textId="77777777" w:rsidR="00EE73F5" w:rsidRDefault="00EE73F5" w:rsidP="00240DDA">
      <w:pPr>
        <w:spacing w:after="0" w:line="240" w:lineRule="auto"/>
      </w:pPr>
      <w:r w:rsidRPr="00A725BD">
        <w:t xml:space="preserve">BANDEIRINHA, J. A. </w:t>
      </w:r>
      <w:r w:rsidRPr="00B61E32">
        <w:rPr>
          <w:b/>
          <w:bCs/>
          <w:iCs/>
        </w:rPr>
        <w:t>O Encontro Nacional de Arquitetos em 1969: a reprodução das tensões sociais, culturais e políticas no âmbito profissional da arquitetura</w:t>
      </w:r>
      <w:r w:rsidRPr="00A725BD">
        <w:rPr>
          <w:i/>
        </w:rPr>
        <w:t xml:space="preserve">. </w:t>
      </w:r>
      <w:r w:rsidRPr="00B61E32">
        <w:t>Revista Crítica de Ciências Sociais - Debate social e construção do território</w:t>
      </w:r>
      <w:r w:rsidRPr="00A725BD">
        <w:rPr>
          <w:i/>
          <w:iCs/>
        </w:rPr>
        <w:t>.</w:t>
      </w:r>
      <w:r w:rsidRPr="00A725BD">
        <w:t xml:space="preserve"> Coimbra</w:t>
      </w:r>
      <w:r>
        <w:t>,</w:t>
      </w:r>
      <w:r w:rsidRPr="00A725BD">
        <w:t xml:space="preserve"> 2010.</w:t>
      </w:r>
    </w:p>
    <w:p w14:paraId="0AD614A0" w14:textId="77777777" w:rsidR="006B56D4" w:rsidRPr="00A725BD" w:rsidRDefault="006B56D4" w:rsidP="00240DDA">
      <w:pPr>
        <w:spacing w:after="0" w:line="240" w:lineRule="auto"/>
      </w:pPr>
    </w:p>
    <w:p w14:paraId="14965A85" w14:textId="1AF4A165" w:rsidR="00EE73F5" w:rsidRDefault="00EE73F5" w:rsidP="00240DDA">
      <w:pPr>
        <w:spacing w:after="0" w:line="240" w:lineRule="auto"/>
      </w:pPr>
      <w:r w:rsidRPr="00A725BD">
        <w:t xml:space="preserve">BARRETO, A. (org.). </w:t>
      </w:r>
      <w:r w:rsidRPr="00B61E32">
        <w:rPr>
          <w:b/>
          <w:bCs/>
        </w:rPr>
        <w:t>A Situação Social em Portugal</w:t>
      </w:r>
      <w:r w:rsidRPr="00A725BD">
        <w:rPr>
          <w:i/>
          <w:iCs/>
        </w:rPr>
        <w:t xml:space="preserve"> (1960-1995)</w:t>
      </w:r>
      <w:r w:rsidRPr="00A725BD">
        <w:t>. Lisboa: ICS, 1996.</w:t>
      </w:r>
    </w:p>
    <w:p w14:paraId="7C788C8B" w14:textId="77777777" w:rsidR="00B61E32" w:rsidRPr="00A725BD" w:rsidRDefault="00B61E32" w:rsidP="00240DDA">
      <w:pPr>
        <w:spacing w:after="0" w:line="240" w:lineRule="auto"/>
      </w:pPr>
    </w:p>
    <w:p w14:paraId="14965A86" w14:textId="77777777" w:rsidR="00EE73F5" w:rsidRDefault="00EE73F5" w:rsidP="00240DDA">
      <w:pPr>
        <w:spacing w:after="0" w:line="240" w:lineRule="auto"/>
      </w:pPr>
      <w:r w:rsidRPr="00A725BD">
        <w:t xml:space="preserve">BEHRING, E. </w:t>
      </w:r>
      <w:r w:rsidRPr="00B61E32">
        <w:rPr>
          <w:b/>
          <w:bCs/>
        </w:rPr>
        <w:t>Política social no capitalismo tardio</w:t>
      </w:r>
      <w:r w:rsidRPr="00A725BD">
        <w:rPr>
          <w:i/>
          <w:iCs/>
        </w:rPr>
        <w:t>.</w:t>
      </w:r>
      <w:r w:rsidRPr="00A725BD">
        <w:t xml:space="preserve"> São Paulo: Cortez, 1998.</w:t>
      </w:r>
    </w:p>
    <w:p w14:paraId="2B898227" w14:textId="77777777" w:rsidR="00B61E32" w:rsidRPr="00A725BD" w:rsidRDefault="00B61E32" w:rsidP="00240DDA">
      <w:pPr>
        <w:spacing w:after="0" w:line="240" w:lineRule="auto"/>
      </w:pPr>
    </w:p>
    <w:p w14:paraId="14965A87" w14:textId="5552E08B" w:rsidR="00EE73F5" w:rsidRDefault="00EE73F5" w:rsidP="00240DDA">
      <w:pPr>
        <w:spacing w:after="0" w:line="240" w:lineRule="auto"/>
      </w:pPr>
      <w:r w:rsidRPr="00A725BD">
        <w:t xml:space="preserve">BOTTOMORE, T. </w:t>
      </w:r>
      <w:r w:rsidRPr="00B61E32">
        <w:rPr>
          <w:b/>
          <w:bCs/>
        </w:rPr>
        <w:t>Dicionário do Pensamento Marxista</w:t>
      </w:r>
      <w:r w:rsidRPr="00A725BD">
        <w:t>. Rio de Janeiro: Jorge Zahar Editora, 1988.</w:t>
      </w:r>
    </w:p>
    <w:p w14:paraId="43960B2C" w14:textId="77777777" w:rsidR="00B61E32" w:rsidRPr="00A725BD" w:rsidRDefault="00B61E32" w:rsidP="00240DDA">
      <w:pPr>
        <w:spacing w:after="0" w:line="240" w:lineRule="auto"/>
      </w:pPr>
    </w:p>
    <w:p w14:paraId="14965A88" w14:textId="611B12DF" w:rsidR="00EE73F5" w:rsidRDefault="00EE73F5" w:rsidP="00240DDA">
      <w:pPr>
        <w:spacing w:after="0" w:line="240" w:lineRule="auto"/>
      </w:pPr>
      <w:r w:rsidRPr="00A725BD">
        <w:t xml:space="preserve">CARDOSO, A. </w:t>
      </w:r>
      <w:r w:rsidRPr="00B61E32">
        <w:rPr>
          <w:b/>
          <w:bCs/>
        </w:rPr>
        <w:t>A outra face da cidade: pobreza em bairros degradados de Lisboa</w:t>
      </w:r>
      <w:r w:rsidRPr="00A725BD">
        <w:rPr>
          <w:i/>
          <w:iCs/>
        </w:rPr>
        <w:t xml:space="preserve">. </w:t>
      </w:r>
      <w:r w:rsidRPr="00A725BD">
        <w:t>Lisboa: Câmara Municipal de Lisboa, 1993</w:t>
      </w:r>
      <w:r w:rsidR="00B61E32">
        <w:t>.</w:t>
      </w:r>
    </w:p>
    <w:p w14:paraId="06569C8E" w14:textId="77777777" w:rsidR="00B61E32" w:rsidRPr="00A725BD" w:rsidRDefault="00B61E32" w:rsidP="00240DDA">
      <w:pPr>
        <w:spacing w:after="0" w:line="240" w:lineRule="auto"/>
      </w:pPr>
    </w:p>
    <w:p w14:paraId="14965A89" w14:textId="43C0A21E" w:rsidR="00EE73F5" w:rsidRDefault="00EE73F5" w:rsidP="00240DDA">
      <w:pPr>
        <w:spacing w:after="0" w:line="240" w:lineRule="auto"/>
      </w:pPr>
      <w:r w:rsidRPr="00A725BD">
        <w:t xml:space="preserve">CARVALHO, M. </w:t>
      </w:r>
      <w:r w:rsidRPr="00B61E32">
        <w:rPr>
          <w:b/>
          <w:bCs/>
        </w:rPr>
        <w:t>Quando Portugal ardeu: Histórias e segredos da violência política no pós 25 de abril</w:t>
      </w:r>
      <w:r w:rsidRPr="00A725BD">
        <w:rPr>
          <w:i/>
          <w:iCs/>
        </w:rPr>
        <w:t>.</w:t>
      </w:r>
      <w:r w:rsidRPr="00A725BD">
        <w:t xml:space="preserve"> </w:t>
      </w:r>
      <w:proofErr w:type="spellStart"/>
      <w:r w:rsidRPr="00A725BD">
        <w:t>Alfragide</w:t>
      </w:r>
      <w:proofErr w:type="spellEnd"/>
      <w:r w:rsidRPr="00A725BD">
        <w:t>: Oficina do Livro, 2014.</w:t>
      </w:r>
    </w:p>
    <w:p w14:paraId="4A373BA7" w14:textId="77777777" w:rsidR="00B61E32" w:rsidRPr="00A725BD" w:rsidRDefault="00B61E32" w:rsidP="00240DDA">
      <w:pPr>
        <w:spacing w:after="0" w:line="240" w:lineRule="auto"/>
      </w:pPr>
    </w:p>
    <w:p w14:paraId="14965A8A" w14:textId="77777777" w:rsidR="00EE73F5" w:rsidRDefault="00EE73F5" w:rsidP="00240DDA">
      <w:pPr>
        <w:spacing w:after="0" w:line="240" w:lineRule="auto"/>
      </w:pPr>
      <w:r w:rsidRPr="00A725BD">
        <w:t xml:space="preserve">CASTELLS, M. </w:t>
      </w:r>
      <w:r w:rsidRPr="00B61E32">
        <w:rPr>
          <w:b/>
          <w:bCs/>
        </w:rPr>
        <w:t>Cidade, Democracia e Socialismo</w:t>
      </w:r>
      <w:r w:rsidRPr="00A725BD">
        <w:rPr>
          <w:i/>
          <w:iCs/>
        </w:rPr>
        <w:t>.</w:t>
      </w:r>
      <w:r w:rsidRPr="00A725BD">
        <w:t xml:space="preserve"> Rio de Janeiro: Paz e Terra, 1989.</w:t>
      </w:r>
    </w:p>
    <w:p w14:paraId="285C9C69" w14:textId="77777777" w:rsidR="00B61E32" w:rsidRPr="00A725BD" w:rsidRDefault="00B61E32" w:rsidP="00240DDA">
      <w:pPr>
        <w:spacing w:after="0" w:line="240" w:lineRule="auto"/>
      </w:pPr>
    </w:p>
    <w:p w14:paraId="14965A8B" w14:textId="77777777" w:rsidR="00EE73F5" w:rsidRDefault="00EE73F5" w:rsidP="00240DDA">
      <w:pPr>
        <w:spacing w:after="0" w:line="240" w:lineRule="auto"/>
        <w:rPr>
          <w:lang w:val="en-US"/>
        </w:rPr>
      </w:pPr>
      <w:r w:rsidRPr="00A725BD">
        <w:t xml:space="preserve">CASTELLS, M. </w:t>
      </w:r>
      <w:r w:rsidRPr="00B61E32">
        <w:rPr>
          <w:b/>
          <w:bCs/>
        </w:rPr>
        <w:t>Lutas urbanas e poder político</w:t>
      </w:r>
      <w:r w:rsidRPr="00A725BD">
        <w:rPr>
          <w:i/>
          <w:iCs/>
        </w:rPr>
        <w:t>.</w:t>
      </w:r>
      <w:r w:rsidRPr="00A725BD">
        <w:t xml:space="preserve"> </w:t>
      </w:r>
      <w:r w:rsidRPr="00A725BD">
        <w:rPr>
          <w:lang w:val="en-US"/>
        </w:rPr>
        <w:t xml:space="preserve">Lisboa: </w:t>
      </w:r>
      <w:proofErr w:type="spellStart"/>
      <w:r w:rsidRPr="00A725BD">
        <w:rPr>
          <w:lang w:val="en-US"/>
        </w:rPr>
        <w:t>Afrontamento</w:t>
      </w:r>
      <w:proofErr w:type="spellEnd"/>
      <w:r w:rsidRPr="00A725BD">
        <w:rPr>
          <w:lang w:val="en-US"/>
        </w:rPr>
        <w:t>, 1976.</w:t>
      </w:r>
    </w:p>
    <w:p w14:paraId="2156CE9E" w14:textId="77777777" w:rsidR="00B61E32" w:rsidRPr="00A725BD" w:rsidRDefault="00B61E32" w:rsidP="00240DDA">
      <w:pPr>
        <w:spacing w:after="0" w:line="240" w:lineRule="auto"/>
        <w:rPr>
          <w:lang w:val="en-US"/>
        </w:rPr>
      </w:pPr>
    </w:p>
    <w:p w14:paraId="14965A8C" w14:textId="77777777" w:rsidR="00EE73F5" w:rsidRDefault="00EE73F5" w:rsidP="00240DDA">
      <w:pPr>
        <w:spacing w:after="0" w:line="240" w:lineRule="auto"/>
        <w:rPr>
          <w:lang w:val="en-GB"/>
        </w:rPr>
      </w:pPr>
      <w:r w:rsidRPr="00A725BD">
        <w:rPr>
          <w:lang w:val="en-US"/>
        </w:rPr>
        <w:t xml:space="preserve">CASTELLS, M. </w:t>
      </w:r>
      <w:r w:rsidRPr="00B61E32">
        <w:rPr>
          <w:b/>
          <w:bCs/>
          <w:lang w:val="en-US"/>
        </w:rPr>
        <w:t>The Urban Question: A Marxist Approach</w:t>
      </w:r>
      <w:r w:rsidRPr="00A725BD">
        <w:rPr>
          <w:lang w:val="en-US"/>
        </w:rPr>
        <w:t xml:space="preserve">. </w:t>
      </w:r>
      <w:r w:rsidRPr="006B56D4">
        <w:rPr>
          <w:lang w:val="en-GB"/>
        </w:rPr>
        <w:t>Cambridge Mass: MIT Press, 1977.</w:t>
      </w:r>
    </w:p>
    <w:p w14:paraId="53C616D4" w14:textId="77777777" w:rsidR="00B61E32" w:rsidRPr="006B56D4" w:rsidRDefault="00B61E32" w:rsidP="00240DDA">
      <w:pPr>
        <w:spacing w:after="0" w:line="240" w:lineRule="auto"/>
        <w:rPr>
          <w:lang w:val="en-GB"/>
        </w:rPr>
      </w:pPr>
    </w:p>
    <w:p w14:paraId="14965A8D" w14:textId="77777777" w:rsidR="00EE73F5" w:rsidRDefault="00EE73F5" w:rsidP="00240DDA">
      <w:pPr>
        <w:spacing w:after="0" w:line="240" w:lineRule="auto"/>
      </w:pPr>
      <w:r w:rsidRPr="00A725BD">
        <w:t xml:space="preserve">CASTRO, A. </w:t>
      </w:r>
      <w:r w:rsidRPr="00B61E32">
        <w:rPr>
          <w:b/>
          <w:bCs/>
        </w:rPr>
        <w:t>História Econômica de Portugal</w:t>
      </w:r>
      <w:r w:rsidRPr="00A725BD">
        <w:rPr>
          <w:i/>
          <w:iCs/>
        </w:rPr>
        <w:t>.</w:t>
      </w:r>
      <w:r w:rsidRPr="00A725BD">
        <w:t xml:space="preserve"> Lisboa: Editorial Caminho,</w:t>
      </w:r>
      <w:r>
        <w:t xml:space="preserve"> </w:t>
      </w:r>
      <w:r w:rsidRPr="00A725BD">
        <w:t>1978a.</w:t>
      </w:r>
    </w:p>
    <w:p w14:paraId="0B7F0DFF" w14:textId="77777777" w:rsidR="00B61E32" w:rsidRPr="00A725BD" w:rsidRDefault="00B61E32" w:rsidP="00240DDA">
      <w:pPr>
        <w:spacing w:after="0" w:line="240" w:lineRule="auto"/>
      </w:pPr>
    </w:p>
    <w:p w14:paraId="14965A8E" w14:textId="2448B1CD" w:rsidR="00EE73F5" w:rsidRDefault="00EE73F5" w:rsidP="00240DDA">
      <w:pPr>
        <w:spacing w:after="0" w:line="240" w:lineRule="auto"/>
      </w:pPr>
      <w:r w:rsidRPr="00A725BD">
        <w:t xml:space="preserve">CASTRO, A. </w:t>
      </w:r>
      <w:r w:rsidRPr="00B61E32">
        <w:rPr>
          <w:b/>
          <w:bCs/>
        </w:rPr>
        <w:t>História Econômica de Portugal</w:t>
      </w:r>
      <w:r w:rsidRPr="00A725BD">
        <w:t>. Lisboa, Editorial Caminho, 1978b.</w:t>
      </w:r>
    </w:p>
    <w:p w14:paraId="24D51A37" w14:textId="77777777" w:rsidR="00B61E32" w:rsidRPr="00A725BD" w:rsidRDefault="00B61E32" w:rsidP="00240DDA">
      <w:pPr>
        <w:spacing w:after="0" w:line="240" w:lineRule="auto"/>
      </w:pPr>
    </w:p>
    <w:p w14:paraId="14965A8F" w14:textId="1E5B7AE9" w:rsidR="00EE73F5" w:rsidRDefault="00EE73F5" w:rsidP="00240DDA">
      <w:pPr>
        <w:spacing w:after="0" w:line="240" w:lineRule="auto"/>
      </w:pPr>
      <w:r w:rsidRPr="00A725BD">
        <w:t xml:space="preserve">CEREZALES, D. P. </w:t>
      </w:r>
      <w:r w:rsidRPr="00B61E32">
        <w:rPr>
          <w:b/>
          <w:bCs/>
        </w:rPr>
        <w:t xml:space="preserve">O poder caiu na rua: Crise do Estado e </w:t>
      </w:r>
      <w:proofErr w:type="spellStart"/>
      <w:r w:rsidRPr="00B61E32">
        <w:rPr>
          <w:b/>
          <w:bCs/>
        </w:rPr>
        <w:t>Acções</w:t>
      </w:r>
      <w:proofErr w:type="spellEnd"/>
      <w:r w:rsidRPr="00B61E32">
        <w:rPr>
          <w:b/>
          <w:bCs/>
        </w:rPr>
        <w:t xml:space="preserve"> </w:t>
      </w:r>
      <w:proofErr w:type="spellStart"/>
      <w:r w:rsidRPr="00B61E32">
        <w:rPr>
          <w:b/>
          <w:bCs/>
        </w:rPr>
        <w:t>Colectivas</w:t>
      </w:r>
      <w:proofErr w:type="spellEnd"/>
      <w:r w:rsidRPr="00B61E32">
        <w:rPr>
          <w:b/>
          <w:bCs/>
        </w:rPr>
        <w:t xml:space="preserve"> na Revolução Portuguesa </w:t>
      </w:r>
      <w:r w:rsidRPr="00A725BD">
        <w:rPr>
          <w:i/>
          <w:iCs/>
        </w:rPr>
        <w:t>(1974-1976).</w:t>
      </w:r>
      <w:r w:rsidRPr="00A725BD">
        <w:t xml:space="preserve"> Lisboa: Imprensa de Ciências Sociais, 2003.</w:t>
      </w:r>
    </w:p>
    <w:p w14:paraId="75657C83" w14:textId="77777777" w:rsidR="00B61E32" w:rsidRPr="00A725BD" w:rsidRDefault="00B61E32" w:rsidP="00240DDA">
      <w:pPr>
        <w:spacing w:after="0" w:line="240" w:lineRule="auto"/>
      </w:pPr>
    </w:p>
    <w:p w14:paraId="14965A90" w14:textId="77777777" w:rsidR="00EE73F5" w:rsidRDefault="00EE73F5" w:rsidP="00240DDA">
      <w:pPr>
        <w:spacing w:after="0" w:line="240" w:lineRule="auto"/>
      </w:pPr>
      <w:r w:rsidRPr="00A725BD">
        <w:t xml:space="preserve">CORREA, R. L. </w:t>
      </w:r>
      <w:r w:rsidRPr="00B61E32">
        <w:rPr>
          <w:b/>
          <w:bCs/>
        </w:rPr>
        <w:t>O Espaço Urbano</w:t>
      </w:r>
      <w:r w:rsidRPr="00A725BD">
        <w:t>. São Paulo: Editora Ática, 1993.</w:t>
      </w:r>
    </w:p>
    <w:p w14:paraId="69BBE6C9" w14:textId="77777777" w:rsidR="00B61E32" w:rsidRPr="00A725BD" w:rsidRDefault="00B61E32" w:rsidP="00240DDA">
      <w:pPr>
        <w:spacing w:after="0" w:line="240" w:lineRule="auto"/>
      </w:pPr>
    </w:p>
    <w:p w14:paraId="14965A91" w14:textId="77777777" w:rsidR="00EE73F5" w:rsidRDefault="00EE73F5" w:rsidP="00240DDA">
      <w:pPr>
        <w:spacing w:after="0" w:line="240" w:lineRule="auto"/>
      </w:pPr>
      <w:r w:rsidRPr="00A725BD">
        <w:t xml:space="preserve">COSTA, J. </w:t>
      </w:r>
      <w:r w:rsidRPr="00B61E32">
        <w:t>et al.</w:t>
      </w:r>
      <w:r w:rsidRPr="00A725BD">
        <w:t xml:space="preserve"> </w:t>
      </w:r>
      <w:r w:rsidRPr="00B61E32">
        <w:rPr>
          <w:b/>
          <w:bCs/>
        </w:rPr>
        <w:t>Os donos de Portugal: cem anos de poder econômico (1910-2010</w:t>
      </w:r>
      <w:r w:rsidRPr="00A725BD">
        <w:rPr>
          <w:i/>
          <w:iCs/>
        </w:rPr>
        <w:t>)</w:t>
      </w:r>
      <w:r w:rsidRPr="00A725BD">
        <w:rPr>
          <w:i/>
        </w:rPr>
        <w:t>.</w:t>
      </w:r>
      <w:r w:rsidRPr="00A725BD">
        <w:t xml:space="preserve"> Porto: Edições Afrontamento, 2011.</w:t>
      </w:r>
    </w:p>
    <w:p w14:paraId="35FD28E8" w14:textId="77777777" w:rsidR="00B61E32" w:rsidRPr="00A725BD" w:rsidRDefault="00B61E32" w:rsidP="00240DDA">
      <w:pPr>
        <w:spacing w:after="0" w:line="240" w:lineRule="auto"/>
      </w:pPr>
    </w:p>
    <w:p w14:paraId="14965A92" w14:textId="77777777" w:rsidR="00EE73F5" w:rsidRDefault="00EE73F5" w:rsidP="00240DDA">
      <w:pPr>
        <w:spacing w:after="0" w:line="240" w:lineRule="auto"/>
      </w:pPr>
      <w:r w:rsidRPr="00A725BD">
        <w:t>COUTINHO, C. N</w:t>
      </w:r>
      <w:r w:rsidRPr="00A725BD">
        <w:rPr>
          <w:i/>
          <w:iCs/>
        </w:rPr>
        <w:t xml:space="preserve">. </w:t>
      </w:r>
      <w:r w:rsidRPr="00B61E32">
        <w:rPr>
          <w:b/>
          <w:bCs/>
        </w:rPr>
        <w:t>De Rousseau a Gramsci</w:t>
      </w:r>
      <w:r w:rsidRPr="00A725BD">
        <w:rPr>
          <w:i/>
          <w:iCs/>
        </w:rPr>
        <w:t>.</w:t>
      </w:r>
      <w:r w:rsidRPr="00A725BD">
        <w:t xml:space="preserve"> São Paulo: Boitempo, 2011.</w:t>
      </w:r>
    </w:p>
    <w:p w14:paraId="3051D719" w14:textId="77777777" w:rsidR="00B61E32" w:rsidRDefault="00B61E32" w:rsidP="00240DDA">
      <w:pPr>
        <w:spacing w:after="0" w:line="240" w:lineRule="auto"/>
      </w:pPr>
    </w:p>
    <w:p w14:paraId="28DBB7E7" w14:textId="77777777" w:rsidR="00B61E32" w:rsidRPr="00A725BD" w:rsidRDefault="00B61E32" w:rsidP="00240DDA">
      <w:pPr>
        <w:spacing w:after="0" w:line="240" w:lineRule="auto"/>
      </w:pPr>
    </w:p>
    <w:p w14:paraId="14965A93" w14:textId="77777777" w:rsidR="00EE73F5" w:rsidRDefault="00EE73F5" w:rsidP="00240DDA">
      <w:pPr>
        <w:spacing w:after="0" w:line="240" w:lineRule="auto"/>
      </w:pPr>
      <w:r w:rsidRPr="00A725BD">
        <w:lastRenderedPageBreak/>
        <w:t xml:space="preserve">COUTINHO, C. N. </w:t>
      </w:r>
      <w:r w:rsidRPr="00B61E32">
        <w:rPr>
          <w:b/>
          <w:bCs/>
        </w:rPr>
        <w:t>Contra a Corrente: Ensaios sobre democracia e socialismo</w:t>
      </w:r>
      <w:r>
        <w:t>. São Paulo: Cortez,1994.</w:t>
      </w:r>
    </w:p>
    <w:p w14:paraId="5998FAB1" w14:textId="77777777" w:rsidR="00B61E32" w:rsidRPr="00A725BD" w:rsidRDefault="00B61E32" w:rsidP="00240DDA">
      <w:pPr>
        <w:spacing w:after="0" w:line="240" w:lineRule="auto"/>
      </w:pPr>
    </w:p>
    <w:p w14:paraId="14965A94" w14:textId="77777777" w:rsidR="00EE73F5" w:rsidRDefault="00EE73F5" w:rsidP="00240DDA">
      <w:pPr>
        <w:spacing w:after="0" w:line="240" w:lineRule="auto"/>
      </w:pPr>
      <w:r w:rsidRPr="00A725BD">
        <w:t xml:space="preserve">COUTINHO, C. N. </w:t>
      </w:r>
      <w:r w:rsidRPr="00B61E32">
        <w:rPr>
          <w:b/>
          <w:bCs/>
        </w:rPr>
        <w:t>Marxismo e Política: A dualidade de poderes e outros ensaios</w:t>
      </w:r>
      <w:r w:rsidRPr="00A725BD">
        <w:rPr>
          <w:u w:val="single"/>
        </w:rPr>
        <w:t>.</w:t>
      </w:r>
      <w:r w:rsidRPr="00A725BD">
        <w:t xml:space="preserve"> Rio de Janeiro: Cortez, 1996.</w:t>
      </w:r>
    </w:p>
    <w:p w14:paraId="22A725B9" w14:textId="77777777" w:rsidR="00B61E32" w:rsidRPr="00A725BD" w:rsidRDefault="00B61E32" w:rsidP="00240DDA">
      <w:pPr>
        <w:spacing w:after="0" w:line="240" w:lineRule="auto"/>
      </w:pPr>
    </w:p>
    <w:p w14:paraId="14965A95" w14:textId="015EF24B" w:rsidR="00EE73F5" w:rsidRDefault="00EE73F5" w:rsidP="00240DDA">
      <w:pPr>
        <w:spacing w:after="0" w:line="240" w:lineRule="auto"/>
      </w:pPr>
      <w:r w:rsidRPr="00A725BD">
        <w:t>COUTO, J. (</w:t>
      </w:r>
      <w:proofErr w:type="spellStart"/>
      <w:r w:rsidRPr="00A725BD">
        <w:t>org</w:t>
      </w:r>
      <w:proofErr w:type="spellEnd"/>
      <w:r w:rsidRPr="00A725BD">
        <w:t xml:space="preserve">). </w:t>
      </w:r>
      <w:r w:rsidRPr="00B61E32">
        <w:rPr>
          <w:b/>
          <w:bCs/>
        </w:rPr>
        <w:t>Atlas da História de Portugal: uma perspectiva geopolítica</w:t>
      </w:r>
      <w:r w:rsidRPr="00A725BD">
        <w:rPr>
          <w:i/>
        </w:rPr>
        <w:t xml:space="preserve">. </w:t>
      </w:r>
      <w:r w:rsidRPr="00B61E32">
        <w:rPr>
          <w:iCs/>
        </w:rPr>
        <w:t>Lisboa</w:t>
      </w:r>
      <w:r w:rsidRPr="00A725BD">
        <w:t>: Fundação Francisco Manoel dos Santos, 2021.</w:t>
      </w:r>
    </w:p>
    <w:p w14:paraId="392F8E36" w14:textId="77777777" w:rsidR="00B61E32" w:rsidRPr="00A725BD" w:rsidRDefault="00B61E32" w:rsidP="00240DDA">
      <w:pPr>
        <w:spacing w:after="0" w:line="240" w:lineRule="auto"/>
      </w:pPr>
    </w:p>
    <w:p w14:paraId="14965A96" w14:textId="77777777" w:rsidR="00EE73F5" w:rsidRDefault="00EE73F5" w:rsidP="00240DDA">
      <w:pPr>
        <w:spacing w:after="0" w:line="240" w:lineRule="auto"/>
        <w:rPr>
          <w:lang w:val="fr-FR"/>
        </w:rPr>
      </w:pPr>
      <w:r w:rsidRPr="00A725BD">
        <w:t xml:space="preserve">CUNHAL, A. </w:t>
      </w:r>
      <w:r w:rsidRPr="00B61E32">
        <w:rPr>
          <w:b/>
          <w:bCs/>
        </w:rPr>
        <w:t>A Revolução Portuguesa: o passado e o futuro</w:t>
      </w:r>
      <w:r w:rsidRPr="00A725BD">
        <w:rPr>
          <w:i/>
          <w:iCs/>
        </w:rPr>
        <w:t xml:space="preserve">. </w:t>
      </w:r>
      <w:r w:rsidRPr="006B56D4">
        <w:rPr>
          <w:lang w:val="fr-FR"/>
        </w:rPr>
        <w:t xml:space="preserve">Lisboa: </w:t>
      </w:r>
      <w:proofErr w:type="spellStart"/>
      <w:r w:rsidRPr="006B56D4">
        <w:rPr>
          <w:lang w:val="fr-FR"/>
        </w:rPr>
        <w:t>Edições</w:t>
      </w:r>
      <w:proofErr w:type="spellEnd"/>
      <w:r w:rsidRPr="006B56D4">
        <w:rPr>
          <w:lang w:val="fr-FR"/>
        </w:rPr>
        <w:t xml:space="preserve"> Avante, 1994.</w:t>
      </w:r>
    </w:p>
    <w:p w14:paraId="7FD94A3A" w14:textId="77777777" w:rsidR="00B61E32" w:rsidRPr="006B56D4" w:rsidRDefault="00B61E32" w:rsidP="00240DDA">
      <w:pPr>
        <w:spacing w:after="0" w:line="240" w:lineRule="auto"/>
        <w:rPr>
          <w:lang w:val="fr-FR"/>
        </w:rPr>
      </w:pPr>
    </w:p>
    <w:p w14:paraId="14965A97" w14:textId="2AD554B3" w:rsidR="00EE73F5" w:rsidRDefault="00EE73F5" w:rsidP="00240DDA">
      <w:pPr>
        <w:spacing w:after="0" w:line="240" w:lineRule="auto"/>
        <w:rPr>
          <w:lang w:val="fr-FR"/>
        </w:rPr>
      </w:pPr>
      <w:r w:rsidRPr="006B56D4">
        <w:rPr>
          <w:lang w:val="fr-FR"/>
        </w:rPr>
        <w:t xml:space="preserve">d’ARTHUYS, B. e GROS, M. C. </w:t>
      </w:r>
      <w:r w:rsidRPr="00B61E32">
        <w:rPr>
          <w:b/>
          <w:bCs/>
          <w:lang w:val="fr-FR"/>
        </w:rPr>
        <w:t>Les commissions de “</w:t>
      </w:r>
      <w:proofErr w:type="spellStart"/>
      <w:r w:rsidRPr="00B61E32">
        <w:rPr>
          <w:b/>
          <w:bCs/>
          <w:lang w:val="fr-FR"/>
        </w:rPr>
        <w:t>Moradores</w:t>
      </w:r>
      <w:proofErr w:type="spellEnd"/>
      <w:r w:rsidRPr="00B61E32">
        <w:rPr>
          <w:b/>
          <w:bCs/>
          <w:lang w:val="fr-FR"/>
        </w:rPr>
        <w:t>”:</w:t>
      </w:r>
      <w:r w:rsidRPr="006B56D4">
        <w:rPr>
          <w:lang w:val="fr-FR"/>
        </w:rPr>
        <w:t xml:space="preserve"> Organisation ou pouvoir</w:t>
      </w:r>
      <w:r w:rsidR="00B61E32">
        <w:rPr>
          <w:lang w:val="fr-FR"/>
        </w:rPr>
        <w:t>.</w:t>
      </w:r>
    </w:p>
    <w:p w14:paraId="25E24602" w14:textId="77777777" w:rsidR="00B61E32" w:rsidRPr="006B56D4" w:rsidRDefault="00B61E32" w:rsidP="00240DDA">
      <w:pPr>
        <w:spacing w:after="0" w:line="240" w:lineRule="auto"/>
        <w:rPr>
          <w:lang w:val="fr-FR"/>
        </w:rPr>
      </w:pPr>
    </w:p>
    <w:p w14:paraId="14965A98" w14:textId="74A479F7" w:rsidR="00EE73F5" w:rsidRDefault="00EE73F5" w:rsidP="00240DDA">
      <w:pPr>
        <w:spacing w:after="0" w:line="240" w:lineRule="auto"/>
      </w:pPr>
      <w:r w:rsidRPr="006B56D4">
        <w:rPr>
          <w:lang w:val="fr-FR"/>
        </w:rPr>
        <w:t>DOWS, C. (</w:t>
      </w:r>
      <w:r w:rsidRPr="006B56D4">
        <w:rPr>
          <w:i/>
          <w:iCs/>
          <w:lang w:val="fr-FR"/>
        </w:rPr>
        <w:t>et al</w:t>
      </w:r>
      <w:r w:rsidRPr="006B56D4">
        <w:rPr>
          <w:lang w:val="fr-FR"/>
        </w:rPr>
        <w:t xml:space="preserve">.). </w:t>
      </w:r>
      <w:r w:rsidRPr="00B61E32">
        <w:rPr>
          <w:b/>
          <w:bCs/>
        </w:rPr>
        <w:t>Os moradores à conquista da cidade: comissões de moradores e lutas urbanas em Setúbal</w:t>
      </w:r>
      <w:r w:rsidRPr="00A725BD">
        <w:rPr>
          <w:i/>
          <w:iCs/>
        </w:rPr>
        <w:t xml:space="preserve"> (1974-1976)</w:t>
      </w:r>
      <w:r w:rsidRPr="00A725BD">
        <w:t>. Lisboa: Sociedade Editor</w:t>
      </w:r>
      <w:r>
        <w:t>a o Armazém das Letras, 1978.</w:t>
      </w:r>
    </w:p>
    <w:p w14:paraId="2E46689D" w14:textId="77777777" w:rsidR="00B61E32" w:rsidRPr="00A725BD" w:rsidRDefault="00B61E32" w:rsidP="00240DDA">
      <w:pPr>
        <w:spacing w:after="0" w:line="240" w:lineRule="auto"/>
      </w:pPr>
    </w:p>
    <w:p w14:paraId="14965A99" w14:textId="77777777" w:rsidR="00EE73F5" w:rsidRDefault="00EE73F5" w:rsidP="00240DDA">
      <w:pPr>
        <w:spacing w:after="0" w:line="240" w:lineRule="auto"/>
      </w:pPr>
      <w:r w:rsidRPr="00A725BD">
        <w:t xml:space="preserve">ENGELS, F. </w:t>
      </w:r>
      <w:r w:rsidRPr="00B61E32">
        <w:rPr>
          <w:b/>
          <w:bCs/>
        </w:rPr>
        <w:t>Sobre a questão da moradia</w:t>
      </w:r>
      <w:r w:rsidRPr="00A725BD">
        <w:t>. São Paulo: Boitempo Editorial, 2015.</w:t>
      </w:r>
    </w:p>
    <w:p w14:paraId="4253B1F9" w14:textId="77777777" w:rsidR="00B61E32" w:rsidRPr="00A725BD" w:rsidRDefault="00B61E32" w:rsidP="00240DDA">
      <w:pPr>
        <w:spacing w:after="0" w:line="240" w:lineRule="auto"/>
      </w:pPr>
    </w:p>
    <w:p w14:paraId="14965A9A" w14:textId="77777777" w:rsidR="00EE73F5" w:rsidRDefault="00EE73F5" w:rsidP="00240DDA">
      <w:pPr>
        <w:spacing w:after="0" w:line="240" w:lineRule="auto"/>
      </w:pPr>
      <w:r w:rsidRPr="00A725BD">
        <w:t xml:space="preserve">FARIA, C. V. </w:t>
      </w:r>
      <w:r w:rsidRPr="00B61E32">
        <w:rPr>
          <w:b/>
          <w:bCs/>
        </w:rPr>
        <w:t>As cidades na cidade: movimentos sociais urbanos em Setúbal (1966-1995)</w:t>
      </w:r>
      <w:r w:rsidRPr="00A725BD">
        <w:rPr>
          <w:i/>
          <w:iCs/>
        </w:rPr>
        <w:t>.</w:t>
      </w:r>
      <w:r w:rsidRPr="00A725BD">
        <w:t xml:space="preserve"> Lisboa: Esfera do Caos, 2009.</w:t>
      </w:r>
    </w:p>
    <w:p w14:paraId="5CCABAF1" w14:textId="77777777" w:rsidR="00B61E32" w:rsidRPr="00A725BD" w:rsidRDefault="00B61E32" w:rsidP="00240DDA">
      <w:pPr>
        <w:spacing w:after="0" w:line="240" w:lineRule="auto"/>
      </w:pPr>
    </w:p>
    <w:p w14:paraId="386F4827" w14:textId="48075C81" w:rsidR="00B61E32" w:rsidRDefault="00EE73F5" w:rsidP="00240DDA">
      <w:pPr>
        <w:spacing w:after="0" w:line="240" w:lineRule="auto"/>
      </w:pPr>
      <w:r w:rsidRPr="00A725BD">
        <w:t>FARIA, M. F. de e MENDES, J. A</w:t>
      </w:r>
      <w:r w:rsidRPr="00A725BD">
        <w:rPr>
          <w:i/>
          <w:iCs/>
        </w:rPr>
        <w:t xml:space="preserve">. </w:t>
      </w:r>
      <w:r w:rsidRPr="00B61E32">
        <w:rPr>
          <w:b/>
          <w:bCs/>
        </w:rPr>
        <w:t>Industrialização em Portugal no século XX: o caso do Barreiro - Centenário da CUF no Barreiro</w:t>
      </w:r>
      <w:r w:rsidRPr="00A725BD">
        <w:t>. Lisboa: Universidade Autônoma Editora, 2010</w:t>
      </w:r>
      <w:r w:rsidR="00B61E32">
        <w:t>.</w:t>
      </w:r>
    </w:p>
    <w:p w14:paraId="60061E8A" w14:textId="77777777" w:rsidR="00B61E32" w:rsidRPr="00A725BD" w:rsidRDefault="00B61E32" w:rsidP="00240DDA">
      <w:pPr>
        <w:spacing w:after="0" w:line="240" w:lineRule="auto"/>
      </w:pPr>
    </w:p>
    <w:p w14:paraId="14965A9C" w14:textId="77777777" w:rsidR="00EE73F5" w:rsidRDefault="00EE73F5" w:rsidP="00240DDA">
      <w:pPr>
        <w:spacing w:after="0" w:line="240" w:lineRule="auto"/>
      </w:pPr>
      <w:r w:rsidRPr="00A725BD">
        <w:t xml:space="preserve">FERRAZ, R. </w:t>
      </w:r>
      <w:r w:rsidRPr="00B61E32">
        <w:rPr>
          <w:b/>
          <w:bCs/>
        </w:rPr>
        <w:t>Grande Guerra e a Guerra Colonial: custos para os cofres portugueses</w:t>
      </w:r>
      <w:r w:rsidRPr="00A725BD">
        <w:rPr>
          <w:i/>
          <w:iCs/>
        </w:rPr>
        <w:t>.</w:t>
      </w:r>
      <w:r w:rsidRPr="00A725BD">
        <w:t xml:space="preserve"> Lisboa: Edições Silabo, 2021.</w:t>
      </w:r>
    </w:p>
    <w:p w14:paraId="3F06D0F8" w14:textId="77777777" w:rsidR="00B61E32" w:rsidRPr="00A725BD" w:rsidRDefault="00B61E32" w:rsidP="00240DDA">
      <w:pPr>
        <w:spacing w:after="0" w:line="240" w:lineRule="auto"/>
      </w:pPr>
    </w:p>
    <w:p w14:paraId="14965A9D" w14:textId="038B92BD" w:rsidR="00EE73F5" w:rsidRDefault="00EE73F5" w:rsidP="00240DDA">
      <w:pPr>
        <w:spacing w:after="0" w:line="240" w:lineRule="auto"/>
      </w:pPr>
      <w:r w:rsidRPr="00A725BD">
        <w:t xml:space="preserve">FERREIRA, A. F. </w:t>
      </w:r>
      <w:r w:rsidRPr="00B61E32">
        <w:rPr>
          <w:b/>
          <w:bCs/>
        </w:rPr>
        <w:t>Para uma nova política de habitação</w:t>
      </w:r>
      <w:r w:rsidRPr="00A725BD">
        <w:rPr>
          <w:i/>
          <w:iCs/>
        </w:rPr>
        <w:t>.</w:t>
      </w:r>
      <w:r w:rsidRPr="00A725BD">
        <w:t xml:space="preserve"> Lisboa: Edições Afrontamento, 1987.</w:t>
      </w:r>
    </w:p>
    <w:p w14:paraId="508D8846" w14:textId="77777777" w:rsidR="00B61E32" w:rsidRPr="00A725BD" w:rsidRDefault="00B61E32" w:rsidP="00240DDA">
      <w:pPr>
        <w:spacing w:after="0" w:line="240" w:lineRule="auto"/>
      </w:pPr>
    </w:p>
    <w:p w14:paraId="14965A9E" w14:textId="60B1D406" w:rsidR="00EE73F5" w:rsidRDefault="00EE73F5" w:rsidP="00240DDA">
      <w:pPr>
        <w:spacing w:after="0" w:line="240" w:lineRule="auto"/>
      </w:pPr>
      <w:r w:rsidRPr="006B56D4">
        <w:t xml:space="preserve">FERREIRA, H. G. e MARSHALL, Michael W. </w:t>
      </w:r>
      <w:proofErr w:type="spellStart"/>
      <w:r w:rsidRPr="00B61E32">
        <w:rPr>
          <w:b/>
          <w:bCs/>
        </w:rPr>
        <w:t>Portugal’s</w:t>
      </w:r>
      <w:proofErr w:type="spellEnd"/>
      <w:r w:rsidRPr="00B61E32">
        <w:rPr>
          <w:b/>
          <w:bCs/>
        </w:rPr>
        <w:t xml:space="preserve"> Revolution: </w:t>
      </w:r>
      <w:proofErr w:type="spellStart"/>
      <w:r w:rsidRPr="00B61E32">
        <w:rPr>
          <w:b/>
          <w:bCs/>
        </w:rPr>
        <w:t>Ten</w:t>
      </w:r>
      <w:proofErr w:type="spellEnd"/>
      <w:r w:rsidRPr="00B61E32">
        <w:rPr>
          <w:b/>
          <w:bCs/>
        </w:rPr>
        <w:t xml:space="preserve"> Years </w:t>
      </w:r>
      <w:proofErr w:type="spellStart"/>
      <w:r w:rsidRPr="00B61E32">
        <w:rPr>
          <w:b/>
          <w:bCs/>
        </w:rPr>
        <w:t>On</w:t>
      </w:r>
      <w:proofErr w:type="spellEnd"/>
      <w:r w:rsidRPr="006B56D4">
        <w:rPr>
          <w:i/>
          <w:iCs/>
        </w:rPr>
        <w:t>.</w:t>
      </w:r>
      <w:r w:rsidRPr="006B56D4">
        <w:t xml:space="preserve"> </w:t>
      </w:r>
      <w:r w:rsidRPr="00A725BD">
        <w:t xml:space="preserve">Cambridge: Cambridge </w:t>
      </w:r>
      <w:proofErr w:type="spellStart"/>
      <w:r w:rsidRPr="00A725BD">
        <w:t>University</w:t>
      </w:r>
      <w:proofErr w:type="spellEnd"/>
      <w:r w:rsidRPr="00A725BD">
        <w:t xml:space="preserve"> Press, 1986.</w:t>
      </w:r>
    </w:p>
    <w:p w14:paraId="5B453EC3" w14:textId="77777777" w:rsidR="00B61E32" w:rsidRPr="00A725BD" w:rsidRDefault="00B61E32" w:rsidP="00240DDA">
      <w:pPr>
        <w:spacing w:after="0" w:line="240" w:lineRule="auto"/>
      </w:pPr>
    </w:p>
    <w:p w14:paraId="14965A9F" w14:textId="0A85A81E" w:rsidR="00EE73F5" w:rsidRDefault="00EE73F5" w:rsidP="00240DDA">
      <w:pPr>
        <w:spacing w:after="0" w:line="240" w:lineRule="auto"/>
      </w:pPr>
      <w:r w:rsidRPr="00A725BD">
        <w:t xml:space="preserve">FERREIRA, J. M. </w:t>
      </w:r>
      <w:r w:rsidRPr="00B61E32">
        <w:rPr>
          <w:b/>
          <w:bCs/>
          <w:iCs/>
        </w:rPr>
        <w:t>O 25 de abril no contexto internacional. Relações Internacionais: Os 30 anos do 25 de abril</w:t>
      </w:r>
      <w:r w:rsidRPr="00A725BD">
        <w:rPr>
          <w:i/>
          <w:iCs/>
        </w:rPr>
        <w:t xml:space="preserve">. </w:t>
      </w:r>
      <w:r w:rsidRPr="00A725BD">
        <w:t>Lisboa, 2004.</w:t>
      </w:r>
    </w:p>
    <w:p w14:paraId="46ED18F8" w14:textId="77777777" w:rsidR="00B61E32" w:rsidRPr="00A725BD" w:rsidRDefault="00B61E32" w:rsidP="00240DDA">
      <w:pPr>
        <w:spacing w:after="0" w:line="240" w:lineRule="auto"/>
      </w:pPr>
    </w:p>
    <w:p w14:paraId="14965AA0" w14:textId="10E3B0C6" w:rsidR="00EE73F5" w:rsidRDefault="00EE73F5" w:rsidP="00240DDA">
      <w:pPr>
        <w:spacing w:after="0" w:line="240" w:lineRule="auto"/>
      </w:pPr>
      <w:r w:rsidRPr="00A725BD">
        <w:t xml:space="preserve">FERREIRA, Vitor Matias. </w:t>
      </w:r>
      <w:r w:rsidRPr="00B61E32">
        <w:rPr>
          <w:b/>
          <w:bCs/>
        </w:rPr>
        <w:t>A cidade de Lisboa: de capital do Império a centro da metrópole</w:t>
      </w:r>
      <w:r w:rsidRPr="00A725BD">
        <w:rPr>
          <w:i/>
          <w:iCs/>
        </w:rPr>
        <w:t>.</w:t>
      </w:r>
      <w:r w:rsidRPr="00A725BD">
        <w:t xml:space="preserve"> Lisboa: Publicações Dom Quixote, 1987.</w:t>
      </w:r>
    </w:p>
    <w:p w14:paraId="6DB7ECD1" w14:textId="77777777" w:rsidR="00B61E32" w:rsidRPr="00A725BD" w:rsidRDefault="00B61E32" w:rsidP="00240DDA">
      <w:pPr>
        <w:spacing w:after="0" w:line="240" w:lineRule="auto"/>
      </w:pPr>
    </w:p>
    <w:p w14:paraId="14965AA1" w14:textId="77777777" w:rsidR="00EE73F5" w:rsidRDefault="00EE73F5" w:rsidP="00240DDA">
      <w:pPr>
        <w:spacing w:after="0" w:line="240" w:lineRule="auto"/>
      </w:pPr>
      <w:r w:rsidRPr="00A725BD">
        <w:t>FERREIRA, V</w:t>
      </w:r>
      <w:r>
        <w:t>itor</w:t>
      </w:r>
      <w:r w:rsidRPr="00A725BD">
        <w:t>. M</w:t>
      </w:r>
      <w:r>
        <w:t>atias</w:t>
      </w:r>
      <w:r w:rsidRPr="00A725BD">
        <w:t xml:space="preserve">. </w:t>
      </w:r>
      <w:r w:rsidRPr="00B61E32">
        <w:rPr>
          <w:b/>
          <w:bCs/>
        </w:rPr>
        <w:t>Movimento sociais urbanos e intervenção política: a intervenção do SAAL em Lisboa</w:t>
      </w:r>
      <w:r w:rsidRPr="00A725BD">
        <w:rPr>
          <w:i/>
          <w:iCs/>
        </w:rPr>
        <w:t>.</w:t>
      </w:r>
      <w:r w:rsidRPr="00A725BD">
        <w:t xml:space="preserve"> Porto: Edições Afrontamento, 1975.</w:t>
      </w:r>
    </w:p>
    <w:p w14:paraId="0CA08BEB" w14:textId="77777777" w:rsidR="00B61E32" w:rsidRPr="00A725BD" w:rsidRDefault="00B61E32" w:rsidP="00240DDA">
      <w:pPr>
        <w:spacing w:after="0" w:line="240" w:lineRule="auto"/>
      </w:pPr>
    </w:p>
    <w:p w14:paraId="14965AA2" w14:textId="77777777" w:rsidR="00EE73F5" w:rsidRDefault="00EE73F5" w:rsidP="00240DDA">
      <w:pPr>
        <w:spacing w:after="0" w:line="240" w:lineRule="auto"/>
      </w:pPr>
      <w:r w:rsidRPr="00A725BD">
        <w:t>FRANÇA, J. A</w:t>
      </w:r>
      <w:r w:rsidRPr="00A725BD">
        <w:rPr>
          <w:i/>
          <w:iCs/>
        </w:rPr>
        <w:t xml:space="preserve">. </w:t>
      </w:r>
      <w:r w:rsidRPr="00B61E32">
        <w:rPr>
          <w:b/>
          <w:bCs/>
        </w:rPr>
        <w:t>Lisboa Pombalina e o Iluminismo</w:t>
      </w:r>
      <w:r w:rsidRPr="00A725BD">
        <w:t>. Lisboa: Bertrand Editora, 1987.</w:t>
      </w:r>
    </w:p>
    <w:p w14:paraId="3D202576" w14:textId="77777777" w:rsidR="00B61E32" w:rsidRPr="00A725BD" w:rsidRDefault="00B61E32" w:rsidP="00240DDA">
      <w:pPr>
        <w:spacing w:after="0" w:line="240" w:lineRule="auto"/>
      </w:pPr>
    </w:p>
    <w:p w14:paraId="14965AA3" w14:textId="154A03AD" w:rsidR="00EE73F5" w:rsidRDefault="00EE73F5" w:rsidP="00240DDA">
      <w:pPr>
        <w:spacing w:after="0" w:line="240" w:lineRule="auto"/>
      </w:pPr>
      <w:r w:rsidRPr="00A725BD">
        <w:lastRenderedPageBreak/>
        <w:t xml:space="preserve">FREIRE, J. e LOUSADA, M. A. </w:t>
      </w:r>
      <w:r w:rsidRPr="00B61E32">
        <w:rPr>
          <w:b/>
          <w:bCs/>
        </w:rPr>
        <w:t>Roteiros da Memória Urbana - Lisboa: Marcas deixadas por libertários e afins ao longo do século</w:t>
      </w:r>
      <w:r w:rsidRPr="00A725BD">
        <w:rPr>
          <w:i/>
          <w:iCs/>
        </w:rPr>
        <w:t xml:space="preserve"> XX.</w:t>
      </w:r>
      <w:r w:rsidRPr="00A725BD">
        <w:t xml:space="preserve"> Lisboa: Edições Colibri, 2013.</w:t>
      </w:r>
    </w:p>
    <w:p w14:paraId="4BE44072" w14:textId="77777777" w:rsidR="00B61E32" w:rsidRPr="00A725BD" w:rsidRDefault="00B61E32" w:rsidP="00240DDA">
      <w:pPr>
        <w:spacing w:after="0" w:line="240" w:lineRule="auto"/>
      </w:pPr>
    </w:p>
    <w:p w14:paraId="14965AA4" w14:textId="0E892F1B" w:rsidR="00EE73F5" w:rsidRDefault="00EE73F5" w:rsidP="00240DDA">
      <w:pPr>
        <w:spacing w:after="0" w:line="240" w:lineRule="auto"/>
      </w:pPr>
      <w:r w:rsidRPr="00A725BD">
        <w:t xml:space="preserve">GRAMSCI, A. </w:t>
      </w:r>
      <w:r w:rsidRPr="00B61E32">
        <w:rPr>
          <w:b/>
          <w:bCs/>
        </w:rPr>
        <w:t xml:space="preserve">Cadernos do Cárcere: Introdução ao estudo da Filosofia à Filosofia de </w:t>
      </w:r>
      <w:proofErr w:type="spellStart"/>
      <w:r w:rsidRPr="00B61E32">
        <w:rPr>
          <w:b/>
          <w:bCs/>
        </w:rPr>
        <w:t>Benedeto</w:t>
      </w:r>
      <w:proofErr w:type="spellEnd"/>
      <w:r w:rsidRPr="00B61E32">
        <w:rPr>
          <w:b/>
          <w:bCs/>
        </w:rPr>
        <w:t xml:space="preserve"> Croce</w:t>
      </w:r>
      <w:r w:rsidRPr="00A725BD">
        <w:rPr>
          <w:i/>
          <w:iCs/>
        </w:rPr>
        <w:t>.</w:t>
      </w:r>
      <w:r w:rsidRPr="00A725BD">
        <w:t xml:space="preserve"> Rio de Janeiro: Civilização Brasileira, 1999. v.1.</w:t>
      </w:r>
    </w:p>
    <w:p w14:paraId="315FD021" w14:textId="77777777" w:rsidR="00B61E32" w:rsidRPr="00A725BD" w:rsidRDefault="00B61E32" w:rsidP="00240DDA">
      <w:pPr>
        <w:spacing w:after="0" w:line="240" w:lineRule="auto"/>
      </w:pPr>
    </w:p>
    <w:p w14:paraId="14965AA5" w14:textId="43B55B07" w:rsidR="00EE73F5" w:rsidRDefault="00EE73F5" w:rsidP="00240DDA">
      <w:pPr>
        <w:spacing w:after="0" w:line="240" w:lineRule="auto"/>
      </w:pPr>
      <w:r w:rsidRPr="00A725BD">
        <w:t xml:space="preserve">GRAMSCI, A. </w:t>
      </w:r>
      <w:r w:rsidRPr="00B61E32">
        <w:rPr>
          <w:b/>
          <w:bCs/>
        </w:rPr>
        <w:t>Cadernos do Cárcere: Maquiavel. Notas sobre o Estado e a Política</w:t>
      </w:r>
      <w:r w:rsidRPr="00A725BD">
        <w:rPr>
          <w:i/>
          <w:iCs/>
        </w:rPr>
        <w:t xml:space="preserve">. </w:t>
      </w:r>
      <w:r w:rsidRPr="00A725BD">
        <w:t>Rio de Janeiro: Civilização Brasileira, 2002b</w:t>
      </w:r>
      <w:r w:rsidR="00B61E32">
        <w:t>.</w:t>
      </w:r>
    </w:p>
    <w:p w14:paraId="7038F548" w14:textId="77777777" w:rsidR="00B61E32" w:rsidRPr="00A725BD" w:rsidRDefault="00B61E32" w:rsidP="00240DDA">
      <w:pPr>
        <w:spacing w:after="0" w:line="240" w:lineRule="auto"/>
      </w:pPr>
    </w:p>
    <w:p w14:paraId="14965AA6" w14:textId="77777777" w:rsidR="00EE73F5" w:rsidRDefault="00EE73F5" w:rsidP="00240DDA">
      <w:pPr>
        <w:spacing w:after="0" w:line="240" w:lineRule="auto"/>
      </w:pPr>
      <w:r w:rsidRPr="00A725BD">
        <w:t xml:space="preserve">HARVEY, D. </w:t>
      </w:r>
      <w:r w:rsidRPr="00B61E32">
        <w:rPr>
          <w:b/>
          <w:bCs/>
        </w:rPr>
        <w:t>Cidades Rebeldes: do direito à cidade à revolução urbana</w:t>
      </w:r>
      <w:r w:rsidRPr="00A725BD">
        <w:rPr>
          <w:i/>
          <w:iCs/>
        </w:rPr>
        <w:t>.</w:t>
      </w:r>
      <w:r w:rsidRPr="00A725BD">
        <w:t xml:space="preserve"> São Paulo: Martins Fontes, 2014.</w:t>
      </w:r>
    </w:p>
    <w:p w14:paraId="6E0F88DB" w14:textId="77777777" w:rsidR="00B61E32" w:rsidRPr="00A725BD" w:rsidRDefault="00B61E32" w:rsidP="00240DDA">
      <w:pPr>
        <w:spacing w:after="0" w:line="240" w:lineRule="auto"/>
      </w:pPr>
    </w:p>
    <w:p w14:paraId="14965AA7" w14:textId="77777777" w:rsidR="00EE73F5" w:rsidRDefault="00EE73F5" w:rsidP="00240DDA">
      <w:pPr>
        <w:spacing w:after="0" w:line="240" w:lineRule="auto"/>
      </w:pPr>
      <w:r w:rsidRPr="00A725BD">
        <w:t xml:space="preserve">HENRIQUES, J. P. </w:t>
      </w:r>
      <w:r w:rsidRPr="00B61E32">
        <w:rPr>
          <w:b/>
          <w:bCs/>
        </w:rPr>
        <w:t>Revolução inacabada: o que não mudou com o 25 de abril</w:t>
      </w:r>
      <w:r w:rsidRPr="00A725BD">
        <w:rPr>
          <w:i/>
          <w:iCs/>
        </w:rPr>
        <w:t>.</w:t>
      </w:r>
      <w:r w:rsidRPr="00A725BD">
        <w:t xml:space="preserve"> Lisboa: Fundação Francisco Manuel dos Santos, 2024.</w:t>
      </w:r>
    </w:p>
    <w:p w14:paraId="1E80816B" w14:textId="77777777" w:rsidR="00B61E32" w:rsidRPr="00A725BD" w:rsidRDefault="00B61E32" w:rsidP="00240DDA">
      <w:pPr>
        <w:spacing w:after="0" w:line="240" w:lineRule="auto"/>
      </w:pPr>
    </w:p>
    <w:p w14:paraId="14965AA8" w14:textId="42F1A842" w:rsidR="00EE73F5" w:rsidRDefault="00EE73F5" w:rsidP="00240DDA">
      <w:pPr>
        <w:spacing w:after="0" w:line="240" w:lineRule="auto"/>
        <w:ind w:right="-43"/>
      </w:pPr>
      <w:r w:rsidRPr="00A725BD">
        <w:t xml:space="preserve">KERN, L. </w:t>
      </w:r>
      <w:r w:rsidRPr="00B61E32">
        <w:rPr>
          <w:b/>
          <w:bCs/>
        </w:rPr>
        <w:t>Cidade Feminista: a luta pelo espaço numa cidade desenhada por homens</w:t>
      </w:r>
      <w:r w:rsidRPr="00A725BD">
        <w:rPr>
          <w:i/>
          <w:iCs/>
        </w:rPr>
        <w:t>.</w:t>
      </w:r>
      <w:r w:rsidRPr="00A725BD">
        <w:rPr>
          <w:i/>
        </w:rPr>
        <w:t xml:space="preserve"> </w:t>
      </w:r>
      <w:r w:rsidRPr="00A725BD">
        <w:t>Rio de Janeiro: Oficina Raquel, 2021.</w:t>
      </w:r>
    </w:p>
    <w:p w14:paraId="22DFF8FF" w14:textId="77777777" w:rsidR="00B61E32" w:rsidRPr="00A725BD" w:rsidRDefault="00B61E32" w:rsidP="00240DDA">
      <w:pPr>
        <w:spacing w:after="0" w:line="240" w:lineRule="auto"/>
        <w:ind w:right="-43"/>
      </w:pPr>
    </w:p>
    <w:p w14:paraId="14965AA9" w14:textId="77777777" w:rsidR="00EE73F5" w:rsidRDefault="00EE73F5" w:rsidP="00240DDA">
      <w:pPr>
        <w:spacing w:after="0" w:line="240" w:lineRule="auto"/>
      </w:pPr>
      <w:r w:rsidRPr="00A725BD">
        <w:t xml:space="preserve">LAINS, P. </w:t>
      </w:r>
      <w:r w:rsidRPr="00B61E32">
        <w:rPr>
          <w:b/>
          <w:bCs/>
        </w:rPr>
        <w:t>Os progressos do atraso: uma nova história econômica de Portugal (1842-1992).</w:t>
      </w:r>
      <w:r w:rsidRPr="00A725BD">
        <w:t>Lisboa: ICS. Imprensa de Ciências Sociais, 2003.</w:t>
      </w:r>
    </w:p>
    <w:p w14:paraId="52ECB9CA" w14:textId="77777777" w:rsidR="00B61E32" w:rsidRPr="00A725BD" w:rsidRDefault="00B61E32" w:rsidP="00240DDA">
      <w:pPr>
        <w:spacing w:after="0" w:line="240" w:lineRule="auto"/>
      </w:pPr>
    </w:p>
    <w:p w14:paraId="14965AAA" w14:textId="77777777" w:rsidR="00EE73F5" w:rsidRDefault="00EE73F5" w:rsidP="00240DDA">
      <w:pPr>
        <w:spacing w:after="0" w:line="240" w:lineRule="auto"/>
      </w:pPr>
      <w:r w:rsidRPr="00A725BD">
        <w:t xml:space="preserve">LEFEBVRE, H. </w:t>
      </w:r>
      <w:r w:rsidRPr="00B61E32">
        <w:rPr>
          <w:b/>
          <w:bCs/>
        </w:rPr>
        <w:t>O Direito à Cidade</w:t>
      </w:r>
      <w:r w:rsidRPr="00A725BD">
        <w:rPr>
          <w:i/>
          <w:iCs/>
        </w:rPr>
        <w:t>.</w:t>
      </w:r>
      <w:r w:rsidRPr="00A725BD">
        <w:t xml:space="preserve"> São Paulo: </w:t>
      </w:r>
      <w:proofErr w:type="spellStart"/>
      <w:r w:rsidRPr="00A725BD">
        <w:t>Nebli</w:t>
      </w:r>
      <w:proofErr w:type="spellEnd"/>
      <w:r w:rsidRPr="00A725BD">
        <w:t xml:space="preserve"> Editora, 2016.</w:t>
      </w:r>
    </w:p>
    <w:p w14:paraId="4661B0AD" w14:textId="77777777" w:rsidR="00B61E32" w:rsidRPr="00A725BD" w:rsidRDefault="00B61E32" w:rsidP="00240DDA">
      <w:pPr>
        <w:spacing w:after="0" w:line="240" w:lineRule="auto"/>
      </w:pPr>
    </w:p>
    <w:p w14:paraId="14965AAB" w14:textId="77777777" w:rsidR="00EE73F5" w:rsidRDefault="00EE73F5" w:rsidP="00240DDA">
      <w:pPr>
        <w:spacing w:after="0" w:line="240" w:lineRule="auto"/>
      </w:pPr>
      <w:r w:rsidRPr="00A725BD">
        <w:t xml:space="preserve">LIGUORI, G. e VOZA, P. </w:t>
      </w:r>
      <w:r w:rsidRPr="00B61E32">
        <w:rPr>
          <w:b/>
          <w:bCs/>
        </w:rPr>
        <w:t>Dicionário Gramsciano</w:t>
      </w:r>
      <w:r w:rsidRPr="00A725BD">
        <w:t>. São Paulo: Boitempo, 2017.</w:t>
      </w:r>
    </w:p>
    <w:p w14:paraId="6886EF2A" w14:textId="77777777" w:rsidR="00B61E32" w:rsidRPr="00A725BD" w:rsidRDefault="00B61E32" w:rsidP="00240DDA">
      <w:pPr>
        <w:spacing w:after="0" w:line="240" w:lineRule="auto"/>
      </w:pPr>
    </w:p>
    <w:p w14:paraId="14965AAC" w14:textId="77777777" w:rsidR="00EE73F5" w:rsidRDefault="00EE73F5" w:rsidP="00240DDA">
      <w:pPr>
        <w:spacing w:after="0" w:line="240" w:lineRule="auto"/>
      </w:pPr>
      <w:r w:rsidRPr="00B61E32">
        <w:t>LIVRO BRANCO DO SAAL</w:t>
      </w:r>
      <w:r w:rsidRPr="00A725BD">
        <w:t>. Lisboa: Conselho Nacional do SAAL, 1976.</w:t>
      </w:r>
    </w:p>
    <w:p w14:paraId="4B0CDB90" w14:textId="77777777" w:rsidR="00B61E32" w:rsidRPr="00A725BD" w:rsidRDefault="00B61E32" w:rsidP="00240DDA">
      <w:pPr>
        <w:spacing w:after="0" w:line="240" w:lineRule="auto"/>
      </w:pPr>
    </w:p>
    <w:p w14:paraId="14965AAD" w14:textId="77777777" w:rsidR="00EE73F5" w:rsidRDefault="00EE73F5" w:rsidP="00240DDA">
      <w:pPr>
        <w:spacing w:after="0" w:line="240" w:lineRule="auto"/>
      </w:pPr>
      <w:r w:rsidRPr="00A725BD">
        <w:t>LOBATO, A. D.</w:t>
      </w:r>
      <w:r>
        <w:t xml:space="preserve"> </w:t>
      </w:r>
      <w:r w:rsidRPr="00B61E32">
        <w:rPr>
          <w:b/>
          <w:bCs/>
        </w:rPr>
        <w:t>A cidade democrática: habitação e participação no pós 25 de abril</w:t>
      </w:r>
      <w:r w:rsidRPr="00A725BD">
        <w:rPr>
          <w:i/>
          <w:iCs/>
        </w:rPr>
        <w:t>.</w:t>
      </w:r>
      <w:r w:rsidRPr="00A725BD">
        <w:t xml:space="preserve"> Lisboa. Ed. Tinta da China, 2024.</w:t>
      </w:r>
    </w:p>
    <w:p w14:paraId="62DD90C5" w14:textId="77777777" w:rsidR="00B61E32" w:rsidRPr="00A725BD" w:rsidRDefault="00B61E32" w:rsidP="00240DDA">
      <w:pPr>
        <w:spacing w:after="0" w:line="240" w:lineRule="auto"/>
      </w:pPr>
    </w:p>
    <w:p w14:paraId="14965AAE" w14:textId="77777777" w:rsidR="00EE73F5" w:rsidRDefault="00EE73F5" w:rsidP="00240DDA">
      <w:pPr>
        <w:spacing w:after="0" w:line="240" w:lineRule="auto"/>
      </w:pPr>
      <w:r w:rsidRPr="00A725BD">
        <w:t xml:space="preserve">LOJKINE, Jean. </w:t>
      </w:r>
      <w:r w:rsidRPr="00B61E32">
        <w:rPr>
          <w:b/>
          <w:bCs/>
        </w:rPr>
        <w:t>O Estado Capitalista e a Questão Urbana</w:t>
      </w:r>
      <w:r w:rsidRPr="00A725BD">
        <w:rPr>
          <w:i/>
          <w:iCs/>
        </w:rPr>
        <w:t>.</w:t>
      </w:r>
      <w:r w:rsidRPr="00A725BD">
        <w:t xml:space="preserve"> São Paulo: Martins Fontes, 1981.</w:t>
      </w:r>
    </w:p>
    <w:p w14:paraId="686DA89B" w14:textId="77777777" w:rsidR="00B61E32" w:rsidRDefault="00B61E32" w:rsidP="00240DDA">
      <w:pPr>
        <w:spacing w:after="0" w:line="240" w:lineRule="auto"/>
      </w:pPr>
    </w:p>
    <w:p w14:paraId="14965AAF" w14:textId="77777777" w:rsidR="00EE73F5" w:rsidRDefault="00EE73F5" w:rsidP="00240DDA">
      <w:pPr>
        <w:spacing w:after="0" w:line="240" w:lineRule="auto"/>
      </w:pPr>
      <w:r w:rsidRPr="00A725BD">
        <w:t xml:space="preserve">LUXEMBURGO, R. </w:t>
      </w:r>
      <w:r w:rsidRPr="00B61E32">
        <w:rPr>
          <w:b/>
          <w:bCs/>
        </w:rPr>
        <w:t>Reforma ou Revolução?</w:t>
      </w:r>
      <w:r w:rsidRPr="00A725BD">
        <w:rPr>
          <w:i/>
          <w:iCs/>
        </w:rPr>
        <w:t xml:space="preserve"> </w:t>
      </w:r>
      <w:r w:rsidRPr="00A725BD">
        <w:t>São Paulo: Expressão Popular, 1999.</w:t>
      </w:r>
    </w:p>
    <w:p w14:paraId="1E38249E" w14:textId="77777777" w:rsidR="00B61E32" w:rsidRPr="00A725BD" w:rsidRDefault="00B61E32" w:rsidP="00240DDA">
      <w:pPr>
        <w:spacing w:after="0" w:line="240" w:lineRule="auto"/>
      </w:pPr>
    </w:p>
    <w:p w14:paraId="14965AB0" w14:textId="77777777" w:rsidR="00EE73F5" w:rsidRDefault="00EE73F5" w:rsidP="00240DDA">
      <w:pPr>
        <w:spacing w:after="0" w:line="240" w:lineRule="auto"/>
      </w:pPr>
      <w:r w:rsidRPr="00A725BD">
        <w:t xml:space="preserve">MACPHERSON, C.B. </w:t>
      </w:r>
      <w:r w:rsidRPr="00B61E32">
        <w:rPr>
          <w:b/>
          <w:bCs/>
        </w:rPr>
        <w:t>A Democracia Liberal: Origens e evolução</w:t>
      </w:r>
      <w:r w:rsidRPr="00A725BD">
        <w:rPr>
          <w:i/>
          <w:iCs/>
        </w:rPr>
        <w:t>.</w:t>
      </w:r>
      <w:r w:rsidRPr="00A725BD">
        <w:t xml:space="preserve"> Rio de Janeiro: Zahar,1978.</w:t>
      </w:r>
    </w:p>
    <w:p w14:paraId="6619C95F" w14:textId="77777777" w:rsidR="00B61E32" w:rsidRPr="00A725BD" w:rsidRDefault="00B61E32" w:rsidP="00240DDA">
      <w:pPr>
        <w:spacing w:after="0" w:line="240" w:lineRule="auto"/>
      </w:pPr>
    </w:p>
    <w:p w14:paraId="14965AB1" w14:textId="77777777" w:rsidR="00EE73F5" w:rsidRDefault="00EE73F5" w:rsidP="00240DDA">
      <w:pPr>
        <w:spacing w:after="0" w:line="240" w:lineRule="auto"/>
      </w:pPr>
      <w:r w:rsidRPr="00A725BD">
        <w:t xml:space="preserve">MARX, K. e ENGELS, F. </w:t>
      </w:r>
      <w:r w:rsidRPr="00B61E32">
        <w:rPr>
          <w:b/>
          <w:bCs/>
        </w:rPr>
        <w:t>Manifesto do Partido Comunista</w:t>
      </w:r>
      <w:r w:rsidRPr="00A725BD">
        <w:rPr>
          <w:i/>
        </w:rPr>
        <w:t>.</w:t>
      </w:r>
      <w:r w:rsidRPr="00A725BD">
        <w:t xml:space="preserve"> Lisboa: Editora Avanti, 1997.</w:t>
      </w:r>
    </w:p>
    <w:p w14:paraId="2925E054" w14:textId="77777777" w:rsidR="00B61E32" w:rsidRPr="00A725BD" w:rsidRDefault="00B61E32" w:rsidP="00240DDA">
      <w:pPr>
        <w:spacing w:after="0" w:line="240" w:lineRule="auto"/>
      </w:pPr>
    </w:p>
    <w:p w14:paraId="14965AB2" w14:textId="77777777" w:rsidR="00EE73F5" w:rsidRDefault="00EE73F5" w:rsidP="00240DDA">
      <w:pPr>
        <w:spacing w:after="0" w:line="240" w:lineRule="auto"/>
      </w:pPr>
      <w:r w:rsidRPr="00A725BD">
        <w:t>MARINI, R. M.</w:t>
      </w:r>
      <w:r>
        <w:t xml:space="preserve"> </w:t>
      </w:r>
      <w:r w:rsidRPr="00B61E32">
        <w:rPr>
          <w:b/>
          <w:bCs/>
        </w:rPr>
        <w:t>O reformismo e a contrarrevolução: estudos sobre o Chile</w:t>
      </w:r>
      <w:r w:rsidRPr="00A725BD">
        <w:rPr>
          <w:i/>
          <w:iCs/>
        </w:rPr>
        <w:t>.</w:t>
      </w:r>
      <w:r w:rsidRPr="00A725BD">
        <w:t xml:space="preserve"> São Paulo: Expressão Popular, 2019.</w:t>
      </w:r>
    </w:p>
    <w:p w14:paraId="1AF8F411" w14:textId="77777777" w:rsidR="00B61E32" w:rsidRPr="00A725BD" w:rsidRDefault="00B61E32" w:rsidP="00240DDA">
      <w:pPr>
        <w:spacing w:after="0" w:line="240" w:lineRule="auto"/>
      </w:pPr>
    </w:p>
    <w:p w14:paraId="14965AB3" w14:textId="77777777" w:rsidR="00EE73F5" w:rsidRDefault="00EE73F5" w:rsidP="00240DDA">
      <w:pPr>
        <w:spacing w:after="0" w:line="240" w:lineRule="auto"/>
        <w:rPr>
          <w:lang w:val="en-GB"/>
        </w:rPr>
      </w:pPr>
      <w:r w:rsidRPr="00A725BD">
        <w:t xml:space="preserve">MILHAZES, J. </w:t>
      </w:r>
      <w:r w:rsidRPr="00B61E32">
        <w:t>Cunhal</w:t>
      </w:r>
      <w:r w:rsidRPr="00A725BD">
        <w:rPr>
          <w:i/>
          <w:iCs/>
        </w:rPr>
        <w:t xml:space="preserve">. </w:t>
      </w:r>
      <w:r w:rsidRPr="00B61E32">
        <w:rPr>
          <w:b/>
          <w:bCs/>
        </w:rPr>
        <w:t>Brejnev e o 25 de abril: Por que é que a União Soviética não quis a revolução socialista em Portugal</w:t>
      </w:r>
      <w:r w:rsidRPr="00A725BD">
        <w:rPr>
          <w:i/>
          <w:iCs/>
        </w:rPr>
        <w:t>?</w:t>
      </w:r>
      <w:r w:rsidRPr="00A725BD">
        <w:t xml:space="preserve"> </w:t>
      </w:r>
      <w:proofErr w:type="spellStart"/>
      <w:r w:rsidRPr="006B56D4">
        <w:rPr>
          <w:lang w:val="en-GB"/>
        </w:rPr>
        <w:t>Alfragide</w:t>
      </w:r>
      <w:proofErr w:type="spellEnd"/>
      <w:r w:rsidRPr="006B56D4">
        <w:rPr>
          <w:lang w:val="en-GB"/>
        </w:rPr>
        <w:t>: Dom Quixote, 2013.</w:t>
      </w:r>
    </w:p>
    <w:p w14:paraId="3A65BB2A" w14:textId="77777777" w:rsidR="00B61E32" w:rsidRPr="006B56D4" w:rsidRDefault="00B61E32" w:rsidP="00240DDA">
      <w:pPr>
        <w:spacing w:after="0" w:line="240" w:lineRule="auto"/>
        <w:rPr>
          <w:lang w:val="en-GB"/>
        </w:rPr>
      </w:pPr>
    </w:p>
    <w:p w14:paraId="14965AB4" w14:textId="77777777" w:rsidR="00EE73F5" w:rsidRDefault="00EE73F5" w:rsidP="00240DDA">
      <w:pPr>
        <w:spacing w:after="0" w:line="240" w:lineRule="auto"/>
      </w:pPr>
      <w:r w:rsidRPr="00A725BD">
        <w:rPr>
          <w:lang w:val="en-US"/>
        </w:rPr>
        <w:lastRenderedPageBreak/>
        <w:t xml:space="preserve">MORGAN, H.R. </w:t>
      </w:r>
      <w:r w:rsidRPr="00B61E32">
        <w:rPr>
          <w:b/>
          <w:bCs/>
          <w:lang w:val="en-US"/>
        </w:rPr>
        <w:t>Fascism, Integralism and the Corporative Society - Codex Fascismo parts four, five and six</w:t>
      </w:r>
      <w:r w:rsidRPr="00A725BD">
        <w:rPr>
          <w:i/>
          <w:iCs/>
          <w:lang w:val="en-US"/>
        </w:rPr>
        <w:t>.</w:t>
      </w:r>
      <w:r w:rsidRPr="00A725BD">
        <w:rPr>
          <w:lang w:val="en-US"/>
        </w:rPr>
        <w:t xml:space="preserve"> </w:t>
      </w:r>
      <w:r w:rsidRPr="00A725BD">
        <w:t xml:space="preserve">Indiana: </w:t>
      </w:r>
      <w:proofErr w:type="spellStart"/>
      <w:r w:rsidRPr="00A725BD">
        <w:t>Xlibris</w:t>
      </w:r>
      <w:proofErr w:type="spellEnd"/>
      <w:r w:rsidRPr="00A725BD">
        <w:t>, 2014.</w:t>
      </w:r>
    </w:p>
    <w:p w14:paraId="43C5057E" w14:textId="77777777" w:rsidR="00B61E32" w:rsidRPr="00A725BD" w:rsidRDefault="00B61E32" w:rsidP="00240DDA">
      <w:pPr>
        <w:spacing w:after="0" w:line="240" w:lineRule="auto"/>
      </w:pPr>
    </w:p>
    <w:p w14:paraId="129B2005" w14:textId="77777777" w:rsidR="00B61E32" w:rsidRDefault="00EE73F5" w:rsidP="00240DDA">
      <w:pPr>
        <w:spacing w:after="0" w:line="240" w:lineRule="auto"/>
      </w:pPr>
      <w:r w:rsidRPr="00A725BD">
        <w:t xml:space="preserve">MULLER, K. T. </w:t>
      </w:r>
      <w:r w:rsidRPr="00B61E32">
        <w:rPr>
          <w:b/>
          <w:bCs/>
        </w:rPr>
        <w:t>Organização de moradores numa perspectiva de necessidades radicais</w:t>
      </w:r>
      <w:r w:rsidRPr="00A725BD">
        <w:rPr>
          <w:i/>
          <w:iCs/>
        </w:rPr>
        <w:t>.</w:t>
      </w:r>
      <w:r w:rsidRPr="00A725BD">
        <w:rPr>
          <w:i/>
        </w:rPr>
        <w:t xml:space="preserve"> </w:t>
      </w:r>
      <w:r w:rsidRPr="00A725BD">
        <w:t xml:space="preserve">Revista </w:t>
      </w:r>
      <w:proofErr w:type="spellStart"/>
      <w:r w:rsidRPr="00A725BD">
        <w:t>Katálysis</w:t>
      </w:r>
      <w:proofErr w:type="spellEnd"/>
      <w:r w:rsidRPr="00A725BD">
        <w:t>, Florianópolis, 1996.</w:t>
      </w:r>
    </w:p>
    <w:p w14:paraId="14965AB5" w14:textId="78709899" w:rsidR="00EE73F5" w:rsidRPr="00A725BD" w:rsidRDefault="00EE73F5" w:rsidP="00240DDA">
      <w:pPr>
        <w:spacing w:after="0" w:line="240" w:lineRule="auto"/>
      </w:pPr>
      <w:r w:rsidRPr="00A725BD">
        <w:t xml:space="preserve"> </w:t>
      </w:r>
    </w:p>
    <w:p w14:paraId="14965AB6" w14:textId="64280BCC" w:rsidR="00EE73F5" w:rsidRDefault="00EE73F5" w:rsidP="00240DDA">
      <w:pPr>
        <w:spacing w:after="0" w:line="240" w:lineRule="auto"/>
      </w:pPr>
      <w:r w:rsidRPr="00A725BD">
        <w:t xml:space="preserve">MUÑOZ, R. D. </w:t>
      </w:r>
      <w:r w:rsidRPr="00B61E32">
        <w:rPr>
          <w:b/>
          <w:bCs/>
        </w:rPr>
        <w:t>Contenção e transgressão: as mobilizações sociais e o estado nas transições espanhola e portuguesa</w:t>
      </w:r>
      <w:r w:rsidRPr="00A725BD">
        <w:rPr>
          <w:i/>
          <w:iCs/>
        </w:rPr>
        <w:t>.</w:t>
      </w:r>
      <w:r w:rsidRPr="00A725BD">
        <w:t xml:space="preserve"> Lisboa: Tinta da China, 2023.</w:t>
      </w:r>
    </w:p>
    <w:p w14:paraId="57FDB4B1" w14:textId="77777777" w:rsidR="00B61E32" w:rsidRPr="00A725BD" w:rsidRDefault="00B61E32" w:rsidP="00240DDA">
      <w:pPr>
        <w:spacing w:after="0" w:line="240" w:lineRule="auto"/>
      </w:pPr>
    </w:p>
    <w:p w14:paraId="14965AB7" w14:textId="77777777" w:rsidR="00EE73F5" w:rsidRDefault="00EE73F5" w:rsidP="00240DDA">
      <w:pPr>
        <w:spacing w:after="0" w:line="240" w:lineRule="auto"/>
      </w:pPr>
      <w:r w:rsidRPr="00A725BD">
        <w:t xml:space="preserve">NETTO, J.P. </w:t>
      </w:r>
      <w:r w:rsidRPr="00B61E32">
        <w:rPr>
          <w:b/>
          <w:bCs/>
        </w:rPr>
        <w:t>Capitalismo Monopolista e Serviço Social</w:t>
      </w:r>
      <w:r w:rsidRPr="00A725BD">
        <w:t>. São Paulo: Cortez, 2001.</w:t>
      </w:r>
    </w:p>
    <w:p w14:paraId="04DDFAE7" w14:textId="77777777" w:rsidR="00B61E32" w:rsidRDefault="00B61E32" w:rsidP="00240DDA">
      <w:pPr>
        <w:spacing w:after="0" w:line="240" w:lineRule="auto"/>
      </w:pPr>
    </w:p>
    <w:p w14:paraId="14965AB8" w14:textId="77777777" w:rsidR="00EE73F5" w:rsidRDefault="00EE73F5" w:rsidP="00240DDA">
      <w:pPr>
        <w:spacing w:after="0" w:line="240" w:lineRule="auto"/>
      </w:pPr>
      <w:r>
        <w:t xml:space="preserve">OLIVEIRA, Bruno José. </w:t>
      </w:r>
      <w:r w:rsidRPr="00B61E32">
        <w:rPr>
          <w:b/>
          <w:bCs/>
          <w:iCs/>
        </w:rPr>
        <w:t>A Revolução dos Cravos e a Questão Urbana em Lisboa</w:t>
      </w:r>
      <w:r>
        <w:t>. Rio de Janeiro: Mórula, 2026.</w:t>
      </w:r>
    </w:p>
    <w:p w14:paraId="3C921B54" w14:textId="77777777" w:rsidR="00B61E32" w:rsidRPr="00A725BD" w:rsidRDefault="00B61E32" w:rsidP="00240DDA">
      <w:pPr>
        <w:spacing w:after="0" w:line="240" w:lineRule="auto"/>
      </w:pPr>
    </w:p>
    <w:p w14:paraId="14965AB9" w14:textId="77777777" w:rsidR="00EE73F5" w:rsidRDefault="00EE73F5" w:rsidP="00240DDA">
      <w:pPr>
        <w:spacing w:after="0" w:line="240" w:lineRule="auto"/>
      </w:pPr>
      <w:r w:rsidRPr="00A725BD">
        <w:t xml:space="preserve">PASCHKES, M. L. de A. </w:t>
      </w:r>
      <w:r w:rsidRPr="00B61E32">
        <w:rPr>
          <w:b/>
          <w:bCs/>
        </w:rPr>
        <w:t>A Ditadura Salazarista</w:t>
      </w:r>
      <w:r w:rsidRPr="00A725BD">
        <w:t>. São Paulo: Brasiliense, 1985.</w:t>
      </w:r>
    </w:p>
    <w:p w14:paraId="49B5ADB7" w14:textId="77777777" w:rsidR="00B61E32" w:rsidRPr="00A725BD" w:rsidRDefault="00B61E32" w:rsidP="00240DDA">
      <w:pPr>
        <w:spacing w:after="0" w:line="240" w:lineRule="auto"/>
      </w:pPr>
    </w:p>
    <w:p w14:paraId="14965ABA" w14:textId="77777777" w:rsidR="00EE73F5" w:rsidRDefault="00EE73F5" w:rsidP="00240DDA">
      <w:pPr>
        <w:spacing w:after="0" w:line="240" w:lineRule="auto"/>
      </w:pPr>
      <w:r w:rsidRPr="00A725BD">
        <w:t xml:space="preserve">PASTORINI, A. </w:t>
      </w:r>
      <w:r w:rsidRPr="00B61E32">
        <w:rPr>
          <w:b/>
          <w:bCs/>
        </w:rPr>
        <w:t>Quem mexe os fios das políticas sociais? Avanços e limites da categoria concessão-conquista</w:t>
      </w:r>
      <w:r w:rsidRPr="00A725BD">
        <w:t xml:space="preserve">. </w:t>
      </w:r>
      <w:r w:rsidRPr="00B61E32">
        <w:t>Serviço Social e Sociedade</w:t>
      </w:r>
      <w:r w:rsidRPr="00A725BD">
        <w:rPr>
          <w:i/>
        </w:rPr>
        <w:t>.</w:t>
      </w:r>
      <w:r w:rsidRPr="00A725BD">
        <w:t xml:space="preserve"> São Paulo: n</w:t>
      </w:r>
      <w:r>
        <w:t xml:space="preserve"> </w:t>
      </w:r>
      <w:r w:rsidRPr="00A725BD">
        <w:t>53, 1997.</w:t>
      </w:r>
    </w:p>
    <w:p w14:paraId="07EC4DE9" w14:textId="77777777" w:rsidR="00B61E32" w:rsidRPr="00A725BD" w:rsidRDefault="00B61E32" w:rsidP="00240DDA">
      <w:pPr>
        <w:spacing w:after="0" w:line="240" w:lineRule="auto"/>
      </w:pPr>
    </w:p>
    <w:p w14:paraId="14965ABB" w14:textId="77777777" w:rsidR="00EE73F5" w:rsidRDefault="00EE73F5" w:rsidP="00240DDA">
      <w:pPr>
        <w:spacing w:after="0" w:line="240" w:lineRule="auto"/>
      </w:pPr>
      <w:r w:rsidRPr="00A725BD">
        <w:t xml:space="preserve">PEREIRINHA, J. A. e CAROLO, D. F. </w:t>
      </w:r>
      <w:r w:rsidRPr="00B61E32">
        <w:rPr>
          <w:b/>
          <w:bCs/>
          <w:iCs/>
        </w:rPr>
        <w:t>Construção do Estado Providência em Portugal no período do Estado Novo (1935-1974): notas sobre a evolução da despesa social</w:t>
      </w:r>
      <w:r w:rsidRPr="00A725BD">
        <w:rPr>
          <w:i/>
        </w:rPr>
        <w:t>.</w:t>
      </w:r>
      <w:r w:rsidRPr="00A725BD">
        <w:t xml:space="preserve"> </w:t>
      </w:r>
      <w:r w:rsidRPr="009634D7">
        <w:t>Encontro da Associação Portuguesa de História Económica e Social, 24, 2006.</w:t>
      </w:r>
      <w:r w:rsidRPr="00A725BD">
        <w:t xml:space="preserve"> Disponível em</w:t>
      </w:r>
      <w:r w:rsidRPr="00A725BD">
        <w:rPr>
          <w:i/>
        </w:rPr>
        <w:t>:&lt;</w:t>
      </w:r>
      <w:hyperlink r:id="rId9">
        <w:r w:rsidRPr="009634D7">
          <w:t>https://ideas.repec.org/p/ise/isegwp/wp302006.html</w:t>
        </w:r>
      </w:hyperlink>
      <w:r w:rsidRPr="00A725BD">
        <w:rPr>
          <w:i/>
        </w:rPr>
        <w:t>&gt;.</w:t>
      </w:r>
      <w:r w:rsidRPr="00A725BD">
        <w:t xml:space="preserve"> Acesso em: </w:t>
      </w:r>
      <w:proofErr w:type="spellStart"/>
      <w:r>
        <w:t>Fev</w:t>
      </w:r>
      <w:proofErr w:type="spellEnd"/>
      <w:r w:rsidRPr="00A725BD">
        <w:t xml:space="preserve"> 2024.</w:t>
      </w:r>
    </w:p>
    <w:p w14:paraId="2E920228" w14:textId="77777777" w:rsidR="00B61E32" w:rsidRPr="00A725BD" w:rsidRDefault="00B61E32" w:rsidP="00240DDA">
      <w:pPr>
        <w:spacing w:after="0" w:line="240" w:lineRule="auto"/>
      </w:pPr>
    </w:p>
    <w:p w14:paraId="14965ABC" w14:textId="77777777" w:rsidR="00EE73F5" w:rsidRDefault="00EE73F5" w:rsidP="00240DDA">
      <w:pPr>
        <w:spacing w:after="0" w:line="240" w:lineRule="auto"/>
      </w:pPr>
      <w:r w:rsidRPr="00A725BD">
        <w:t xml:space="preserve">PINTO, A. C. </w:t>
      </w:r>
      <w:r w:rsidRPr="00B61E32">
        <w:rPr>
          <w:b/>
          <w:bCs/>
        </w:rPr>
        <w:t>À sombra das ditaduras: a Europa do Sul em comparação</w:t>
      </w:r>
      <w:r w:rsidRPr="00A725BD">
        <w:rPr>
          <w:i/>
        </w:rPr>
        <w:t xml:space="preserve">. </w:t>
      </w:r>
      <w:r w:rsidRPr="00A725BD">
        <w:t>Lisboa: Imprensa de Ciências Sociais, 2018.</w:t>
      </w:r>
    </w:p>
    <w:p w14:paraId="16749FF2" w14:textId="77777777" w:rsidR="00B61E32" w:rsidRPr="00A725BD" w:rsidRDefault="00B61E32" w:rsidP="00240DDA">
      <w:pPr>
        <w:spacing w:after="0" w:line="240" w:lineRule="auto"/>
      </w:pPr>
    </w:p>
    <w:p w14:paraId="14965ABD" w14:textId="77777777" w:rsidR="00EE73F5" w:rsidRDefault="00EE73F5" w:rsidP="00240DDA">
      <w:pPr>
        <w:spacing w:after="0" w:line="240" w:lineRule="auto"/>
      </w:pPr>
      <w:r w:rsidRPr="00A725BD">
        <w:t xml:space="preserve">PINTO, A. C. </w:t>
      </w:r>
      <w:r w:rsidRPr="00A725BD">
        <w:rPr>
          <w:i/>
          <w:iCs/>
        </w:rPr>
        <w:t xml:space="preserve">O </w:t>
      </w:r>
      <w:r w:rsidRPr="00B61E32">
        <w:rPr>
          <w:b/>
          <w:bCs/>
        </w:rPr>
        <w:t>Estado Novo de Salazar - Uma Terceira Via Autoritária na Era do Fascismo</w:t>
      </w:r>
      <w:r w:rsidRPr="00A725BD">
        <w:rPr>
          <w:i/>
          <w:iCs/>
        </w:rPr>
        <w:t>.</w:t>
      </w:r>
      <w:r w:rsidRPr="00A725BD">
        <w:t xml:space="preserve"> Lisboa: Edições 70, 2022.</w:t>
      </w:r>
    </w:p>
    <w:p w14:paraId="1F01834B" w14:textId="77777777" w:rsidR="00B61E32" w:rsidRPr="00A725BD" w:rsidRDefault="00B61E32" w:rsidP="00240DDA">
      <w:pPr>
        <w:spacing w:after="0" w:line="240" w:lineRule="auto"/>
      </w:pPr>
    </w:p>
    <w:p w14:paraId="14965ABE" w14:textId="77777777" w:rsidR="00EE73F5" w:rsidRDefault="00EE73F5" w:rsidP="00240DDA">
      <w:pPr>
        <w:spacing w:after="0" w:line="240" w:lineRule="auto"/>
      </w:pPr>
      <w:r w:rsidRPr="006B56D4">
        <w:t xml:space="preserve">PINTO, P. R. </w:t>
      </w:r>
      <w:r w:rsidRPr="00B61E32">
        <w:rPr>
          <w:b/>
          <w:bCs/>
        </w:rPr>
        <w:t xml:space="preserve">Lisbon </w:t>
      </w:r>
      <w:proofErr w:type="spellStart"/>
      <w:r w:rsidRPr="00B61E32">
        <w:rPr>
          <w:b/>
          <w:bCs/>
        </w:rPr>
        <w:t>Rising</w:t>
      </w:r>
      <w:proofErr w:type="spellEnd"/>
      <w:r w:rsidRPr="00B61E32">
        <w:rPr>
          <w:b/>
          <w:bCs/>
        </w:rPr>
        <w:t xml:space="preserve">. </w:t>
      </w:r>
      <w:proofErr w:type="spellStart"/>
      <w:r w:rsidRPr="00B61E32">
        <w:rPr>
          <w:b/>
          <w:bCs/>
        </w:rPr>
        <w:t>Urban</w:t>
      </w:r>
      <w:proofErr w:type="spellEnd"/>
      <w:r w:rsidRPr="00B61E32">
        <w:rPr>
          <w:b/>
          <w:bCs/>
        </w:rPr>
        <w:t xml:space="preserve"> social </w:t>
      </w:r>
      <w:proofErr w:type="spellStart"/>
      <w:r w:rsidRPr="00B61E32">
        <w:rPr>
          <w:b/>
          <w:bCs/>
        </w:rPr>
        <w:t>movements</w:t>
      </w:r>
      <w:proofErr w:type="spellEnd"/>
      <w:r w:rsidRPr="00B61E32">
        <w:rPr>
          <w:b/>
          <w:bCs/>
        </w:rPr>
        <w:t xml:space="preserve"> in </w:t>
      </w:r>
      <w:proofErr w:type="spellStart"/>
      <w:r w:rsidRPr="00B61E32">
        <w:rPr>
          <w:b/>
          <w:bCs/>
        </w:rPr>
        <w:t>the</w:t>
      </w:r>
      <w:proofErr w:type="spellEnd"/>
      <w:r w:rsidRPr="00B61E32">
        <w:rPr>
          <w:b/>
          <w:bCs/>
        </w:rPr>
        <w:t xml:space="preserve"> </w:t>
      </w:r>
      <w:proofErr w:type="spellStart"/>
      <w:r w:rsidRPr="00B61E32">
        <w:rPr>
          <w:b/>
          <w:bCs/>
        </w:rPr>
        <w:t>Portuguese</w:t>
      </w:r>
      <w:proofErr w:type="spellEnd"/>
      <w:r w:rsidRPr="00B61E32">
        <w:rPr>
          <w:b/>
          <w:bCs/>
        </w:rPr>
        <w:t xml:space="preserve"> Revolution (1974-1975).</w:t>
      </w:r>
      <w:r w:rsidRPr="006B56D4">
        <w:t xml:space="preserve"> Manchester: Manchester </w:t>
      </w:r>
      <w:proofErr w:type="spellStart"/>
      <w:r w:rsidRPr="006B56D4">
        <w:t>University</w:t>
      </w:r>
      <w:proofErr w:type="spellEnd"/>
      <w:r w:rsidRPr="006B56D4">
        <w:t xml:space="preserve"> Press, 2015.</w:t>
      </w:r>
    </w:p>
    <w:p w14:paraId="34308C92" w14:textId="77777777" w:rsidR="00B61E32" w:rsidRPr="006B56D4" w:rsidRDefault="00B61E32" w:rsidP="00240DDA">
      <w:pPr>
        <w:spacing w:after="0" w:line="240" w:lineRule="auto"/>
      </w:pPr>
    </w:p>
    <w:p w14:paraId="14965ABF" w14:textId="77777777" w:rsidR="00EE73F5" w:rsidRDefault="00EE73F5" w:rsidP="00240DDA">
      <w:pPr>
        <w:spacing w:after="0" w:line="240" w:lineRule="auto"/>
      </w:pPr>
      <w:r w:rsidRPr="00A725BD">
        <w:t xml:space="preserve">Poder Popular – </w:t>
      </w:r>
      <w:r w:rsidRPr="00B61E32">
        <w:rPr>
          <w:b/>
          <w:bCs/>
        </w:rPr>
        <w:t>Documento Guia do Projeto Aliança Povo</w:t>
      </w:r>
      <w:r w:rsidRPr="00A725BD">
        <w:t xml:space="preserve"> – MFA (in) NEVES, O. (org.). </w:t>
      </w:r>
      <w:r w:rsidRPr="00B61E32">
        <w:rPr>
          <w:b/>
          <w:bCs/>
        </w:rPr>
        <w:t>A Revolução em Ruptura: Textos Históricos da Revolução II</w:t>
      </w:r>
      <w:r w:rsidRPr="00A725BD">
        <w:t xml:space="preserve">. Lisboa: </w:t>
      </w:r>
      <w:proofErr w:type="spellStart"/>
      <w:r w:rsidRPr="00A725BD">
        <w:t>Diabril</w:t>
      </w:r>
      <w:proofErr w:type="spellEnd"/>
      <w:r w:rsidRPr="00A725BD">
        <w:t xml:space="preserve"> SCARL, 1975.</w:t>
      </w:r>
    </w:p>
    <w:p w14:paraId="5F97F8D0" w14:textId="77777777" w:rsidR="00B61E32" w:rsidRPr="00A725BD" w:rsidRDefault="00B61E32" w:rsidP="00240DDA">
      <w:pPr>
        <w:spacing w:after="0" w:line="240" w:lineRule="auto"/>
      </w:pPr>
    </w:p>
    <w:p w14:paraId="14965AC0" w14:textId="77777777" w:rsidR="00EE73F5" w:rsidRDefault="00EE73F5" w:rsidP="00240DDA">
      <w:pPr>
        <w:spacing w:after="0" w:line="240" w:lineRule="auto"/>
      </w:pPr>
      <w:r w:rsidRPr="00A725BD">
        <w:t xml:space="preserve">PORTAS, N. </w:t>
      </w:r>
      <w:r w:rsidRPr="00B61E32">
        <w:rPr>
          <w:b/>
          <w:bCs/>
        </w:rPr>
        <w:t>Uma nova política urbana</w:t>
      </w:r>
      <w:r w:rsidRPr="00A725BD">
        <w:t xml:space="preserve">. </w:t>
      </w:r>
      <w:r w:rsidRPr="000315E9">
        <w:t>Binário</w:t>
      </w:r>
      <w:r w:rsidRPr="00A725BD">
        <w:rPr>
          <w:i/>
          <w:iCs/>
        </w:rPr>
        <w:t>,</w:t>
      </w:r>
      <w:r w:rsidRPr="00A725BD">
        <w:t xml:space="preserve"> p. 60-62. 1975.</w:t>
      </w:r>
    </w:p>
    <w:p w14:paraId="4B64488A" w14:textId="77777777" w:rsidR="00B61E32" w:rsidRPr="00A725BD" w:rsidRDefault="00B61E32" w:rsidP="00240DDA">
      <w:pPr>
        <w:spacing w:after="0" w:line="240" w:lineRule="auto"/>
      </w:pPr>
    </w:p>
    <w:p w14:paraId="14965AC1" w14:textId="77777777" w:rsidR="00EE73F5" w:rsidRDefault="00EE73F5" w:rsidP="00240DDA">
      <w:pPr>
        <w:spacing w:after="0" w:line="240" w:lineRule="auto"/>
      </w:pPr>
      <w:r w:rsidRPr="00A725BD">
        <w:t xml:space="preserve">PORTAS, N. </w:t>
      </w:r>
      <w:r w:rsidRPr="00B61E32">
        <w:rPr>
          <w:b/>
          <w:bCs/>
        </w:rPr>
        <w:t>O programa SAAL. Um balanço provisório</w:t>
      </w:r>
      <w:r w:rsidRPr="00A725BD">
        <w:t xml:space="preserve">. </w:t>
      </w:r>
      <w:r w:rsidRPr="000315E9">
        <w:t>Intervenção social</w:t>
      </w:r>
      <w:r w:rsidRPr="00A725BD">
        <w:t xml:space="preserve">, </w:t>
      </w:r>
      <w:r>
        <w:t>v.</w:t>
      </w:r>
      <w:r w:rsidRPr="00A725BD">
        <w:t>2, p. 85-111</w:t>
      </w:r>
      <w:r>
        <w:t>,</w:t>
      </w:r>
      <w:r w:rsidRPr="00A725BD">
        <w:t xml:space="preserve"> 1979.</w:t>
      </w:r>
    </w:p>
    <w:p w14:paraId="6194090B" w14:textId="77777777" w:rsidR="00B61E32" w:rsidRPr="00A725BD" w:rsidRDefault="00B61E32" w:rsidP="00240DDA">
      <w:pPr>
        <w:spacing w:after="0" w:line="240" w:lineRule="auto"/>
      </w:pPr>
    </w:p>
    <w:p w14:paraId="14965AC2" w14:textId="072BD938" w:rsidR="00EE73F5" w:rsidRDefault="00EE73F5" w:rsidP="00240DDA">
      <w:pPr>
        <w:spacing w:after="0" w:line="240" w:lineRule="auto"/>
      </w:pPr>
      <w:r w:rsidRPr="00A725BD">
        <w:t xml:space="preserve">PORTUGAL. </w:t>
      </w:r>
      <w:r w:rsidRPr="00B61E32">
        <w:rPr>
          <w:b/>
          <w:bCs/>
        </w:rPr>
        <w:t>Lei 445, de 12 de setembro de 1974</w:t>
      </w:r>
      <w:r w:rsidRPr="00A725BD">
        <w:t xml:space="preserve">. </w:t>
      </w:r>
      <w:r w:rsidRPr="00B61E32">
        <w:t>Estabelece medidas de emergência referentes ao arrendamento de habitações</w:t>
      </w:r>
      <w:r w:rsidRPr="00A725BD">
        <w:t>. Lisboa</w:t>
      </w:r>
      <w:r>
        <w:t xml:space="preserve">: </w:t>
      </w:r>
      <w:r w:rsidRPr="00514961">
        <w:t>Diário da República</w:t>
      </w:r>
      <w:r>
        <w:t>,</w:t>
      </w:r>
      <w:r w:rsidRPr="00A725BD">
        <w:t xml:space="preserve"> 1974.</w:t>
      </w:r>
    </w:p>
    <w:p w14:paraId="7BFE9928" w14:textId="77777777" w:rsidR="00B61E32" w:rsidRDefault="00B61E32" w:rsidP="00240DDA">
      <w:pPr>
        <w:spacing w:after="0" w:line="240" w:lineRule="auto"/>
      </w:pPr>
    </w:p>
    <w:p w14:paraId="37E6EFC7" w14:textId="77777777" w:rsidR="00B61E32" w:rsidRDefault="00B61E32" w:rsidP="00240DDA">
      <w:pPr>
        <w:spacing w:after="0" w:line="240" w:lineRule="auto"/>
      </w:pPr>
    </w:p>
    <w:p w14:paraId="00442B08" w14:textId="77777777" w:rsidR="00B61E32" w:rsidRPr="00A725BD" w:rsidRDefault="00B61E32" w:rsidP="00240DDA">
      <w:pPr>
        <w:spacing w:after="0" w:line="240" w:lineRule="auto"/>
      </w:pPr>
    </w:p>
    <w:p w14:paraId="14965AC3" w14:textId="77777777" w:rsidR="00EE73F5" w:rsidRDefault="00EE73F5" w:rsidP="00240DDA">
      <w:pPr>
        <w:spacing w:after="0" w:line="240" w:lineRule="auto"/>
      </w:pPr>
      <w:r w:rsidRPr="00A725BD">
        <w:lastRenderedPageBreak/>
        <w:t>RAMOS, M. H</w:t>
      </w:r>
      <w:r w:rsidRPr="00B61E32">
        <w:t>. R.</w:t>
      </w:r>
      <w:r w:rsidRPr="002E4B80">
        <w:rPr>
          <w:i/>
          <w:iCs/>
        </w:rPr>
        <w:t xml:space="preserve"> </w:t>
      </w:r>
      <w:r w:rsidRPr="00B61E32">
        <w:rPr>
          <w:b/>
          <w:bCs/>
        </w:rPr>
        <w:t>Para a análise dos movimentos sociais urbanos: da concepção de comunidade à teoria do valor trabalho de Marx</w:t>
      </w:r>
      <w:r w:rsidRPr="00A725BD">
        <w:rPr>
          <w:i/>
          <w:iCs/>
        </w:rPr>
        <w:t>.</w:t>
      </w:r>
      <w:r w:rsidRPr="00A725BD">
        <w:t xml:space="preserve"> Rio de Janeiro</w:t>
      </w:r>
      <w:r>
        <w:t>:</w:t>
      </w:r>
      <w:r w:rsidRPr="002E4B80">
        <w:t xml:space="preserve"> Revista Praia Vermelha</w:t>
      </w:r>
      <w:r w:rsidRPr="00A725BD">
        <w:t>, v.20, 2016.</w:t>
      </w:r>
    </w:p>
    <w:p w14:paraId="1D0C983A" w14:textId="77777777" w:rsidR="00B61E32" w:rsidRPr="00A725BD" w:rsidRDefault="00B61E32" w:rsidP="00240DDA">
      <w:pPr>
        <w:spacing w:after="0" w:line="240" w:lineRule="auto"/>
      </w:pPr>
    </w:p>
    <w:p w14:paraId="14965AC4" w14:textId="77777777" w:rsidR="00EE73F5" w:rsidRDefault="00EE73F5" w:rsidP="00240DDA">
      <w:pPr>
        <w:spacing w:after="0" w:line="240" w:lineRule="auto"/>
      </w:pPr>
      <w:r w:rsidRPr="00A725BD">
        <w:t xml:space="preserve">REIS, G. S. </w:t>
      </w:r>
      <w:r w:rsidRPr="00B61E32">
        <w:rPr>
          <w:b/>
          <w:bCs/>
        </w:rPr>
        <w:t>Uma estruturação do fascismo como conceito adaptável a distintos conceitos históricos</w:t>
      </w:r>
      <w:r w:rsidRPr="00A725BD">
        <w:t>.</w:t>
      </w:r>
      <w:r>
        <w:t xml:space="preserve"> </w:t>
      </w:r>
      <w:r w:rsidRPr="009E4A75">
        <w:t>Encontro da Associação Brasileira de Ciência Política - Eleições e Legitimidade Democrática</w:t>
      </w:r>
      <w:r>
        <w:t xml:space="preserve">. </w:t>
      </w:r>
      <w:r w:rsidRPr="00A725BD">
        <w:t>Goiânia</w:t>
      </w:r>
      <w:r>
        <w:t xml:space="preserve">: </w:t>
      </w:r>
      <w:r w:rsidRPr="00A725BD">
        <w:t>Anais do 13º Encontro da ABCP, 2022.</w:t>
      </w:r>
    </w:p>
    <w:p w14:paraId="239AE45C" w14:textId="77777777" w:rsidR="00B61E32" w:rsidRPr="00A725BD" w:rsidRDefault="00B61E32" w:rsidP="00240DDA">
      <w:pPr>
        <w:spacing w:after="0" w:line="240" w:lineRule="auto"/>
      </w:pPr>
    </w:p>
    <w:p w14:paraId="14965AC5" w14:textId="77777777" w:rsidR="00EE73F5" w:rsidRDefault="00EE73F5" w:rsidP="00240DDA">
      <w:pPr>
        <w:spacing w:after="0" w:line="240" w:lineRule="auto"/>
      </w:pPr>
      <w:r w:rsidRPr="00A725BD">
        <w:t xml:space="preserve">REZOLA, M. I. </w:t>
      </w:r>
      <w:r w:rsidRPr="00A725BD">
        <w:rPr>
          <w:i/>
          <w:iCs/>
        </w:rPr>
        <w:t xml:space="preserve">25 </w:t>
      </w:r>
      <w:r w:rsidRPr="00B61E32">
        <w:rPr>
          <w:b/>
          <w:bCs/>
        </w:rPr>
        <w:t>de abril: mitos de uma revolução</w:t>
      </w:r>
      <w:r w:rsidRPr="00A725BD">
        <w:t>. L</w:t>
      </w:r>
      <w:r>
        <w:t>isboa: Esfera dos Livros, 2007.</w:t>
      </w:r>
    </w:p>
    <w:p w14:paraId="31347805" w14:textId="77777777" w:rsidR="00B61E32" w:rsidRDefault="00B61E32" w:rsidP="00240DDA">
      <w:pPr>
        <w:spacing w:after="0" w:line="240" w:lineRule="auto"/>
      </w:pPr>
    </w:p>
    <w:p w14:paraId="14965AC6" w14:textId="77777777" w:rsidR="00EE73F5" w:rsidRDefault="00EE73F5" w:rsidP="00240DDA">
      <w:pPr>
        <w:spacing w:after="0" w:line="240" w:lineRule="auto"/>
      </w:pPr>
      <w:r>
        <w:t xml:space="preserve">RIBEIRO, Maria Sofia e GAUDÊNCIO, Rui. </w:t>
      </w:r>
      <w:r w:rsidRPr="00240DDA">
        <w:rPr>
          <w:b/>
          <w:bCs/>
        </w:rPr>
        <w:t>O caminho da liberdade</w:t>
      </w:r>
      <w:r>
        <w:t xml:space="preserve">: 50 anos do 25 de abril. www.publico.pt. Disponível em: </w:t>
      </w:r>
      <w:hyperlink r:id="rId10" w:history="1">
        <w:r w:rsidRPr="00277A40">
          <w:rPr>
            <w:rStyle w:val="Hyperlink"/>
          </w:rPr>
          <w:t>https://amigosb2m.com/wp-content/uploads/2024/05/Em-1974-uma-multidao-entrou-pelo-Bairro-2-de-Maio-adentro-e-nunca-mais-saiu-_-Reportagem-_-PUBLICO.pdf</w:t>
        </w:r>
      </w:hyperlink>
      <w:r>
        <w:t>. Acesso em: maio 2024.</w:t>
      </w:r>
    </w:p>
    <w:p w14:paraId="4E7A89F7" w14:textId="77777777" w:rsidR="00B61E32" w:rsidRPr="00A725BD" w:rsidRDefault="00B61E32" w:rsidP="00240DDA">
      <w:pPr>
        <w:spacing w:after="0" w:line="240" w:lineRule="auto"/>
      </w:pPr>
    </w:p>
    <w:p w14:paraId="14965AC7" w14:textId="187DBBCB" w:rsidR="00EE73F5" w:rsidRDefault="00EE73F5" w:rsidP="00240DDA">
      <w:pPr>
        <w:spacing w:after="0" w:line="240" w:lineRule="auto"/>
      </w:pPr>
      <w:r w:rsidRPr="00A725BD">
        <w:t xml:space="preserve">RODRIGUES, M. M. S. </w:t>
      </w:r>
      <w:r w:rsidRPr="00240DDA">
        <w:rPr>
          <w:b/>
          <w:bCs/>
        </w:rPr>
        <w:t xml:space="preserve">Movimentos Sociais e Políticas Sociais: perspectivas dos </w:t>
      </w:r>
      <w:proofErr w:type="spellStart"/>
      <w:r w:rsidRPr="00240DDA">
        <w:rPr>
          <w:b/>
          <w:bCs/>
        </w:rPr>
        <w:t>actores</w:t>
      </w:r>
      <w:proofErr w:type="spellEnd"/>
      <w:r w:rsidRPr="00240DDA">
        <w:rPr>
          <w:b/>
          <w:bCs/>
        </w:rPr>
        <w:t xml:space="preserve"> do movimento de moradores do Porto</w:t>
      </w:r>
      <w:r w:rsidRPr="00A725BD">
        <w:rPr>
          <w:i/>
          <w:iCs/>
        </w:rPr>
        <w:t xml:space="preserve"> (1974-1976).</w:t>
      </w:r>
      <w:r w:rsidRPr="00A725BD">
        <w:t xml:space="preserve"> Dissertação </w:t>
      </w:r>
      <w:r>
        <w:t>de M</w:t>
      </w:r>
      <w:r w:rsidRPr="00A725BD">
        <w:t>estrado</w:t>
      </w:r>
      <w:r>
        <w:t xml:space="preserve">. Porto: </w:t>
      </w:r>
      <w:r w:rsidRPr="00A725BD">
        <w:t xml:space="preserve">Universidade do Porto, </w:t>
      </w:r>
      <w:r>
        <w:t>2009</w:t>
      </w:r>
      <w:r w:rsidRPr="00A725BD">
        <w:t>.</w:t>
      </w:r>
    </w:p>
    <w:p w14:paraId="7473A31E" w14:textId="77777777" w:rsidR="00240DDA" w:rsidRPr="00A725BD" w:rsidRDefault="00240DDA" w:rsidP="00240DDA">
      <w:pPr>
        <w:spacing w:after="0" w:line="240" w:lineRule="auto"/>
      </w:pPr>
    </w:p>
    <w:p w14:paraId="14965AC8" w14:textId="77777777" w:rsidR="00EE73F5" w:rsidRDefault="00EE73F5" w:rsidP="00240DDA">
      <w:pPr>
        <w:spacing w:after="0" w:line="240" w:lineRule="auto"/>
      </w:pPr>
      <w:r w:rsidRPr="00A725BD">
        <w:t xml:space="preserve">ROSAS, F. </w:t>
      </w:r>
      <w:r w:rsidRPr="00240DDA">
        <w:rPr>
          <w:b/>
          <w:bCs/>
        </w:rPr>
        <w:t>Salazar e os Fascismos: ensaio de breve história comparada</w:t>
      </w:r>
      <w:r w:rsidRPr="00A725BD">
        <w:rPr>
          <w:i/>
          <w:iCs/>
        </w:rPr>
        <w:t>.</w:t>
      </w:r>
      <w:r w:rsidRPr="00A725BD">
        <w:t xml:space="preserve"> São Paulo: Tinta da China, 2023.</w:t>
      </w:r>
    </w:p>
    <w:p w14:paraId="707402B6" w14:textId="77777777" w:rsidR="00240DDA" w:rsidRPr="00A725BD" w:rsidRDefault="00240DDA" w:rsidP="00240DDA">
      <w:pPr>
        <w:spacing w:after="0" w:line="240" w:lineRule="auto"/>
      </w:pPr>
    </w:p>
    <w:p w14:paraId="14965AC9" w14:textId="77777777" w:rsidR="00EE73F5" w:rsidRPr="00240DDA" w:rsidRDefault="00EE73F5" w:rsidP="00240DDA">
      <w:pPr>
        <w:spacing w:after="0" w:line="240" w:lineRule="auto"/>
        <w:rPr>
          <w:b/>
          <w:bCs/>
        </w:rPr>
      </w:pPr>
      <w:r w:rsidRPr="00A725BD">
        <w:t xml:space="preserve">ROSAS, F. </w:t>
      </w:r>
      <w:r w:rsidRPr="00240DDA">
        <w:rPr>
          <w:b/>
          <w:bCs/>
        </w:rPr>
        <w:t xml:space="preserve">Salazarismo e fomento económico (1928-1948): o </w:t>
      </w:r>
    </w:p>
    <w:p w14:paraId="14965ACA" w14:textId="77777777" w:rsidR="00EE73F5" w:rsidRPr="00A725BD" w:rsidRDefault="00EE73F5" w:rsidP="00240DDA">
      <w:pPr>
        <w:spacing w:after="0" w:line="240" w:lineRule="auto"/>
      </w:pPr>
      <w:r w:rsidRPr="00240DDA">
        <w:rPr>
          <w:b/>
          <w:bCs/>
        </w:rPr>
        <w:t>primado do político na história económica do Estado Novo</w:t>
      </w:r>
      <w:r w:rsidRPr="00A725BD">
        <w:rPr>
          <w:i/>
          <w:iCs/>
        </w:rPr>
        <w:t>.</w:t>
      </w:r>
      <w:r w:rsidRPr="00A725BD">
        <w:t xml:space="preserve"> Lisboa: Editorial</w:t>
      </w:r>
    </w:p>
    <w:p w14:paraId="14965ACB" w14:textId="77777777" w:rsidR="00EE73F5" w:rsidRDefault="00EE73F5" w:rsidP="00240DDA">
      <w:pPr>
        <w:spacing w:after="0" w:line="240" w:lineRule="auto"/>
      </w:pPr>
      <w:r w:rsidRPr="00A725BD">
        <w:t>Notícias, 2000.</w:t>
      </w:r>
    </w:p>
    <w:p w14:paraId="61943CC6" w14:textId="77777777" w:rsidR="00240DDA" w:rsidRPr="00A725BD" w:rsidRDefault="00240DDA" w:rsidP="00240DDA">
      <w:pPr>
        <w:spacing w:after="0" w:line="240" w:lineRule="auto"/>
      </w:pPr>
    </w:p>
    <w:p w14:paraId="14965ACC" w14:textId="0EEC5DFC" w:rsidR="00EE73F5" w:rsidRDefault="00EE73F5" w:rsidP="00240DDA">
      <w:pPr>
        <w:spacing w:after="0" w:line="240" w:lineRule="auto"/>
      </w:pPr>
      <w:r w:rsidRPr="00A725BD">
        <w:t xml:space="preserve">SALAZAR, A. de O. </w:t>
      </w:r>
      <w:r w:rsidRPr="00240DDA">
        <w:rPr>
          <w:b/>
          <w:bCs/>
        </w:rPr>
        <w:t>Como se levanta um Estado</w:t>
      </w:r>
      <w:r w:rsidRPr="00A725BD">
        <w:t>. Porto Alegre: Editora Águia do Sul, 2022.</w:t>
      </w:r>
    </w:p>
    <w:p w14:paraId="178F9DBB" w14:textId="77777777" w:rsidR="00240DDA" w:rsidRPr="00A725BD" w:rsidRDefault="00240DDA" w:rsidP="00240DDA">
      <w:pPr>
        <w:spacing w:after="0" w:line="240" w:lineRule="auto"/>
      </w:pPr>
    </w:p>
    <w:p w14:paraId="14965ACD" w14:textId="7BA2CD7F" w:rsidR="00EE73F5" w:rsidRDefault="00EE73F5" w:rsidP="00240DDA">
      <w:pPr>
        <w:spacing w:after="0" w:line="240" w:lineRule="auto"/>
      </w:pPr>
      <w:r w:rsidRPr="00A725BD">
        <w:t xml:space="preserve">SALGUEIRO, T. B. </w:t>
      </w:r>
      <w:r w:rsidRPr="00240DDA">
        <w:rPr>
          <w:b/>
          <w:bCs/>
        </w:rPr>
        <w:t>Lisboa, periferia e centralidades</w:t>
      </w:r>
      <w:r w:rsidRPr="00A725BD">
        <w:t>. Oeiras: Celta Editora, 2001.</w:t>
      </w:r>
    </w:p>
    <w:p w14:paraId="6C32EE48" w14:textId="77777777" w:rsidR="00240DDA" w:rsidRPr="00A725BD" w:rsidRDefault="00240DDA" w:rsidP="00240DDA">
      <w:pPr>
        <w:spacing w:after="0" w:line="240" w:lineRule="auto"/>
      </w:pPr>
    </w:p>
    <w:p w14:paraId="14965ACE" w14:textId="77777777" w:rsidR="00EE73F5" w:rsidRDefault="00EE73F5" w:rsidP="00240DDA">
      <w:pPr>
        <w:spacing w:after="0" w:line="240" w:lineRule="auto"/>
      </w:pPr>
      <w:r w:rsidRPr="00A725BD">
        <w:t xml:space="preserve">SECCO, L. </w:t>
      </w:r>
      <w:r w:rsidRPr="00240DDA">
        <w:rPr>
          <w:b/>
          <w:bCs/>
        </w:rPr>
        <w:t>A Revolução dos Cravos: Economias, Espaços e Tomadas de Consciência (1761-1974).</w:t>
      </w:r>
      <w:r w:rsidRPr="00A725BD">
        <w:t xml:space="preserve"> São Paulo: Ateliê Editorial, 2024.</w:t>
      </w:r>
    </w:p>
    <w:p w14:paraId="17969BF7" w14:textId="77777777" w:rsidR="00240DDA" w:rsidRPr="00A725BD" w:rsidRDefault="00240DDA" w:rsidP="00240DDA">
      <w:pPr>
        <w:spacing w:after="0" w:line="240" w:lineRule="auto"/>
      </w:pPr>
    </w:p>
    <w:p w14:paraId="14965ACF" w14:textId="77777777" w:rsidR="00EE73F5" w:rsidRDefault="00EE73F5" w:rsidP="00240DDA">
      <w:pPr>
        <w:spacing w:after="0" w:line="240" w:lineRule="auto"/>
      </w:pPr>
      <w:r w:rsidRPr="00A725BD">
        <w:t xml:space="preserve">SILVA, C. A. da. </w:t>
      </w:r>
      <w:r w:rsidRPr="00240DDA">
        <w:rPr>
          <w:b/>
          <w:bCs/>
        </w:rPr>
        <w:t>Os caminhos e descaminhos da política de habitação em Portugal e no Brasil no contexto da crise econômica do início do século XXI</w:t>
      </w:r>
      <w:r w:rsidRPr="00A725BD">
        <w:rPr>
          <w:i/>
          <w:iCs/>
        </w:rPr>
        <w:t>.</w:t>
      </w:r>
      <w:r w:rsidRPr="00A725BD">
        <w:rPr>
          <w:i/>
        </w:rPr>
        <w:t xml:space="preserve"> </w:t>
      </w:r>
      <w:r w:rsidRPr="00A725BD">
        <w:t xml:space="preserve">Tese </w:t>
      </w:r>
      <w:r>
        <w:t xml:space="preserve">de </w:t>
      </w:r>
      <w:r w:rsidRPr="00A725BD">
        <w:t>Doutorado</w:t>
      </w:r>
      <w:r>
        <w:t xml:space="preserve">. Rio de Janeiro: </w:t>
      </w:r>
      <w:r w:rsidRPr="00A725BD">
        <w:t>Pontifícia Universidade Católica do Rio de Janeiro</w:t>
      </w:r>
      <w:r>
        <w:t xml:space="preserve">, </w:t>
      </w:r>
      <w:r w:rsidRPr="00E1209A">
        <w:rPr>
          <w:iCs/>
        </w:rPr>
        <w:t>2015</w:t>
      </w:r>
      <w:r w:rsidRPr="00A725BD">
        <w:t>.</w:t>
      </w:r>
    </w:p>
    <w:p w14:paraId="3B0ACDC0" w14:textId="77777777" w:rsidR="00240DDA" w:rsidRPr="00A725BD" w:rsidRDefault="00240DDA" w:rsidP="00240DDA">
      <w:pPr>
        <w:spacing w:after="0" w:line="240" w:lineRule="auto"/>
      </w:pPr>
    </w:p>
    <w:p w14:paraId="14965AD0" w14:textId="77777777" w:rsidR="00EE73F5" w:rsidRDefault="00EE73F5" w:rsidP="00240DDA">
      <w:pPr>
        <w:spacing w:after="0" w:line="240" w:lineRule="auto"/>
      </w:pPr>
      <w:r w:rsidRPr="00A725BD">
        <w:t xml:space="preserve">SOUZA, M. L. de. </w:t>
      </w:r>
      <w:r w:rsidRPr="00240DDA">
        <w:rPr>
          <w:b/>
          <w:bCs/>
        </w:rPr>
        <w:t>ABC do Desenvolvimento Urbano</w:t>
      </w:r>
      <w:r w:rsidRPr="00A725BD">
        <w:rPr>
          <w:i/>
          <w:iCs/>
        </w:rPr>
        <w:t>.</w:t>
      </w:r>
      <w:r w:rsidRPr="00A725BD">
        <w:t xml:space="preserve"> São Paulo: Ed. Bertrand Brasil, 2003.</w:t>
      </w:r>
    </w:p>
    <w:p w14:paraId="6D5CF9C9" w14:textId="77777777" w:rsidR="00240DDA" w:rsidRPr="00A725BD" w:rsidRDefault="00240DDA" w:rsidP="00240DDA">
      <w:pPr>
        <w:spacing w:after="0" w:line="240" w:lineRule="auto"/>
      </w:pPr>
    </w:p>
    <w:p w14:paraId="14965AD1" w14:textId="77777777" w:rsidR="00EE73F5" w:rsidRDefault="00EE73F5" w:rsidP="00240DDA">
      <w:pPr>
        <w:spacing w:after="0" w:line="240" w:lineRule="auto"/>
      </w:pPr>
      <w:r w:rsidRPr="00A725BD">
        <w:t xml:space="preserve">SOUZA, A. L. </w:t>
      </w:r>
      <w:r w:rsidRPr="00240DDA">
        <w:rPr>
          <w:b/>
          <w:bCs/>
        </w:rPr>
        <w:t>As mulheres nos movimentos sociais de moradia - a cidade sob uma perspectiva de gênero</w:t>
      </w:r>
      <w:r w:rsidRPr="00A725BD">
        <w:rPr>
          <w:i/>
        </w:rPr>
        <w:t>.</w:t>
      </w:r>
      <w:r w:rsidRPr="00E1209A">
        <w:t xml:space="preserve"> </w:t>
      </w:r>
      <w:r w:rsidRPr="006B56D4">
        <w:t>São Paulo: Humanidades em Diálogo, v.5, 2013.</w:t>
      </w:r>
    </w:p>
    <w:p w14:paraId="273FB6B3" w14:textId="77777777" w:rsidR="00240DDA" w:rsidRPr="006B56D4" w:rsidRDefault="00240DDA" w:rsidP="00240DDA">
      <w:pPr>
        <w:spacing w:after="0" w:line="240" w:lineRule="auto"/>
      </w:pPr>
    </w:p>
    <w:p w14:paraId="14965AD2" w14:textId="5250BD4E" w:rsidR="00EE73F5" w:rsidRPr="00A725BD" w:rsidRDefault="00EE73F5" w:rsidP="00240DDA">
      <w:pPr>
        <w:spacing w:after="0" w:line="240" w:lineRule="auto"/>
      </w:pPr>
      <w:r w:rsidRPr="00A725BD">
        <w:t xml:space="preserve">SUÁREZ, M.A.P. </w:t>
      </w:r>
      <w:r w:rsidRPr="00240DDA">
        <w:rPr>
          <w:b/>
          <w:bCs/>
        </w:rPr>
        <w:t>Abaixo a Exploração Capitalista! Comissões de Trabalhadores e Luta Operária na Revolução Portuguesa</w:t>
      </w:r>
      <w:r w:rsidRPr="00A725BD">
        <w:t>. Marília – SP: Editora Lutas Anticapital, 2023.</w:t>
      </w:r>
    </w:p>
    <w:p w14:paraId="14965AD3" w14:textId="77777777" w:rsidR="00EE73F5" w:rsidRDefault="00EE73F5" w:rsidP="00240DDA">
      <w:pPr>
        <w:spacing w:after="0" w:line="240" w:lineRule="auto"/>
      </w:pPr>
      <w:r w:rsidRPr="00A725BD">
        <w:lastRenderedPageBreak/>
        <w:t xml:space="preserve">TEIXEIRA, M. C. </w:t>
      </w:r>
      <w:r w:rsidRPr="00240DDA">
        <w:rPr>
          <w:b/>
          <w:bCs/>
        </w:rPr>
        <w:t>A história urbana em Portugal: desenvolvimentos recentes</w:t>
      </w:r>
      <w:r w:rsidRPr="00A725BD">
        <w:t>. Lisboa</w:t>
      </w:r>
      <w:r>
        <w:t xml:space="preserve">: </w:t>
      </w:r>
      <w:r w:rsidRPr="00CC66FA">
        <w:t>Análise Social</w:t>
      </w:r>
      <w:r>
        <w:t>,</w:t>
      </w:r>
      <w:r w:rsidRPr="00A725BD">
        <w:t xml:space="preserve"> v.28</w:t>
      </w:r>
      <w:r>
        <w:t>(</w:t>
      </w:r>
      <w:r w:rsidRPr="00A725BD">
        <w:t>121</w:t>
      </w:r>
      <w:r>
        <w:t>)</w:t>
      </w:r>
      <w:r w:rsidRPr="00A725BD">
        <w:t>, 1997.</w:t>
      </w:r>
    </w:p>
    <w:p w14:paraId="56E2DCF8" w14:textId="77777777" w:rsidR="00240DDA" w:rsidRPr="00A725BD" w:rsidRDefault="00240DDA" w:rsidP="00240DDA">
      <w:pPr>
        <w:spacing w:after="0" w:line="240" w:lineRule="auto"/>
      </w:pPr>
    </w:p>
    <w:p w14:paraId="14965AD4" w14:textId="77777777" w:rsidR="00EE73F5" w:rsidRDefault="00EE73F5" w:rsidP="00240DDA">
      <w:pPr>
        <w:spacing w:after="0" w:line="240" w:lineRule="auto"/>
        <w:rPr>
          <w:i/>
        </w:rPr>
      </w:pPr>
      <w:r w:rsidRPr="00A725BD">
        <w:t xml:space="preserve">VARELA, R. C. </w:t>
      </w:r>
      <w:r w:rsidRPr="00240DDA">
        <w:rPr>
          <w:b/>
          <w:bCs/>
        </w:rPr>
        <w:t>História da política do Partido Comunista Português durante a Revolução dos Cravos (1974-1975).</w:t>
      </w:r>
      <w:r w:rsidRPr="00A725BD">
        <w:rPr>
          <w:i/>
        </w:rPr>
        <w:t xml:space="preserve"> </w:t>
      </w:r>
      <w:r w:rsidRPr="00A725BD">
        <w:t xml:space="preserve">Tese </w:t>
      </w:r>
      <w:r>
        <w:t>de</w:t>
      </w:r>
      <w:r w:rsidRPr="00A725BD">
        <w:t xml:space="preserve"> Doutorado</w:t>
      </w:r>
      <w:r>
        <w:t xml:space="preserve">. Lisboa: </w:t>
      </w:r>
      <w:r w:rsidRPr="00A725BD">
        <w:t>ISCTE-IUL</w:t>
      </w:r>
      <w:r>
        <w:t>,</w:t>
      </w:r>
      <w:r w:rsidRPr="00A725BD">
        <w:t xml:space="preserve"> 2010</w:t>
      </w:r>
      <w:r w:rsidRPr="00A725BD">
        <w:rPr>
          <w:i/>
        </w:rPr>
        <w:t>.</w:t>
      </w:r>
    </w:p>
    <w:p w14:paraId="40F0FA27" w14:textId="77777777" w:rsidR="00240DDA" w:rsidRPr="00A725BD" w:rsidRDefault="00240DDA" w:rsidP="00240DDA">
      <w:pPr>
        <w:spacing w:after="0" w:line="240" w:lineRule="auto"/>
      </w:pPr>
    </w:p>
    <w:p w14:paraId="14965AD5" w14:textId="77B97E76" w:rsidR="00EE73F5" w:rsidRDefault="00EE73F5" w:rsidP="00240DDA">
      <w:pPr>
        <w:spacing w:after="0" w:line="240" w:lineRule="auto"/>
      </w:pPr>
      <w:r w:rsidRPr="00A725BD">
        <w:t xml:space="preserve">VARELA, R. e DELLA SANTA, R. </w:t>
      </w:r>
      <w:r w:rsidRPr="00240DDA">
        <w:rPr>
          <w:b/>
          <w:bCs/>
        </w:rPr>
        <w:t>Breve História de Portugal</w:t>
      </w:r>
      <w:r w:rsidRPr="00A725BD">
        <w:t>. Lisboa: Bertrand Editora, 2023.</w:t>
      </w:r>
    </w:p>
    <w:p w14:paraId="74161088" w14:textId="77777777" w:rsidR="00240DDA" w:rsidRDefault="00240DDA" w:rsidP="00240DDA">
      <w:pPr>
        <w:spacing w:after="0" w:line="240" w:lineRule="auto"/>
      </w:pPr>
    </w:p>
    <w:p w14:paraId="14965AE3" w14:textId="0FB08CE4" w:rsidR="00602744" w:rsidRPr="006B56D4" w:rsidRDefault="00EE73F5" w:rsidP="00240DDA">
      <w:pPr>
        <w:spacing w:after="0" w:line="240" w:lineRule="auto"/>
      </w:pPr>
      <w:r>
        <w:t xml:space="preserve">WINN, Peter. </w:t>
      </w:r>
      <w:r w:rsidRPr="00240DDA">
        <w:rPr>
          <w:b/>
          <w:bCs/>
          <w:iCs/>
        </w:rPr>
        <w:t>A Revolução Chilena</w:t>
      </w:r>
      <w:r>
        <w:t>. São Paulo: Editora Unesp, 2009.</w:t>
      </w:r>
    </w:p>
    <w:sectPr w:rsidR="00602744" w:rsidRPr="006B56D4" w:rsidSect="006B56D4">
      <w:headerReference w:type="default" r:id="rId11"/>
      <w:footerReference w:type="default" r:id="rId12"/>
      <w:headerReference w:type="first" r:id="rId13"/>
      <w:footerReference w:type="first" r:id="rId14"/>
      <w:pgSz w:w="11850" w:h="16783"/>
      <w:pgMar w:top="1134" w:right="1701" w:bottom="1134" w:left="1701"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0E02B" w14:textId="77777777" w:rsidR="00CE4DE9" w:rsidRDefault="00CE4DE9">
      <w:pPr>
        <w:spacing w:after="0" w:line="240" w:lineRule="auto"/>
      </w:pPr>
      <w:r>
        <w:separator/>
      </w:r>
    </w:p>
  </w:endnote>
  <w:endnote w:type="continuationSeparator" w:id="0">
    <w:p w14:paraId="7BF48093" w14:textId="77777777" w:rsidR="00CE4DE9" w:rsidRDefault="00CE4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 w:name="StarSymbol;Arial Unicode MS">
    <w:panose1 w:val="00000000000000000000"/>
    <w:charset w:val="00"/>
    <w:family w:val="roman"/>
    <w:notTrueType/>
    <w:pitch w:val="default"/>
  </w:font>
  <w:font w:name="OpenSymbol">
    <w:altName w:val="Arial Unicode MS"/>
    <w:panose1 w:val="00000000000000000000"/>
    <w:charset w:val="00"/>
    <w:family w:val="roman"/>
    <w:notTrueType/>
    <w:pitch w:val="default"/>
  </w:font>
  <w:font w:name="Droid Sans Mono">
    <w:panose1 w:val="00000000000000000000"/>
    <w:charset w:val="00"/>
    <w:family w:val="roman"/>
    <w:notTrueType/>
    <w:pitch w:val="default"/>
  </w:font>
  <w:font w:name="Droid Sans Fallback">
    <w:panose1 w:val="00000000000000000000"/>
    <w:charset w:val="00"/>
    <w:family w:val="roman"/>
    <w:notTrueType/>
    <w:pitch w:val="default"/>
  </w:font>
  <w:font w:name="Courier 10 Pitch">
    <w:panose1 w:val="00000000000000000000"/>
    <w:charset w:val="00"/>
    <w:family w:val="roman"/>
    <w:notTrueType/>
    <w:pitch w:val="default"/>
  </w:font>
  <w:font w:name="Bitstream Vera Sans">
    <w:panose1 w:val="00000000000000000000"/>
    <w:charset w:val="00"/>
    <w:family w:val="roman"/>
    <w:notTrueType/>
    <w:pitch w:val="default"/>
  </w:font>
  <w:font w:name="Gill Sa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1" w:fontKey="{8A746FB8-18FB-4791-8719-E537162B8AE8}"/>
    <w:embedBold r:id="rId2" w:fontKey="{A73DF75E-D7FD-4935-91EF-3AFFC83F6882}"/>
    <w:embedBoldItalic r:id="rId3" w:fontKey="{6811A03E-8F2A-4112-9B00-FE05A6881749}"/>
  </w:font>
  <w:font w:name="Arial Rounded MT Bold">
    <w:panose1 w:val="020F0704030504030204"/>
    <w:charset w:val="00"/>
    <w:family w:val="swiss"/>
    <w:pitch w:val="variable"/>
    <w:sig w:usb0="00000003" w:usb1="00000000" w:usb2="00000000" w:usb3="00000000" w:csb0="00000001" w:csb1="00000000"/>
    <w:embedBold r:id="rId4" w:fontKey="{6693BB93-F43A-4A2F-AA13-4A80512E81AB}"/>
  </w:font>
  <w:font w:name="Cambria">
    <w:panose1 w:val="02040503050406030204"/>
    <w:charset w:val="00"/>
    <w:family w:val="roman"/>
    <w:pitch w:val="variable"/>
    <w:sig w:usb0="E00006FF" w:usb1="420024FF" w:usb2="02000000" w:usb3="00000000" w:csb0="0000019F" w:csb1="00000000"/>
    <w:embedRegular r:id="rId5" w:fontKey="{95293F58-7310-427E-A1A1-A20CBA946A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F278" w14:textId="208DFEE3" w:rsidR="006B56D4" w:rsidRDefault="006B56D4">
    <w:pPr>
      <w:spacing w:after="40"/>
      <w:jc w:val="center"/>
      <w:rPr>
        <w:rFonts w:asciiTheme="minorHAnsi" w:hAnsiTheme="minorHAnsi" w:cstheme="minorHAnsi"/>
        <w:b/>
        <w:bCs/>
        <w:i/>
        <w:iCs/>
        <w:sz w:val="20"/>
        <w:szCs w:val="20"/>
      </w:rPr>
    </w:pPr>
    <w:r>
      <w:rPr>
        <w:rFonts w:asciiTheme="minorHAnsi" w:hAnsiTheme="minorHAnsi" w:cstheme="minorHAnsi"/>
        <w:b/>
        <w:bCs/>
        <w:i/>
        <w:iCs/>
        <w:sz w:val="20"/>
        <w:szCs w:val="20"/>
      </w:rPr>
      <w:t>____________________________________________________________________________________</w:t>
    </w:r>
  </w:p>
  <w:p w14:paraId="14965AE9" w14:textId="514A2D3B" w:rsidR="00602744" w:rsidRPr="006B56D4" w:rsidRDefault="00441A5E">
    <w:pPr>
      <w:spacing w:after="40"/>
      <w:jc w:val="center"/>
      <w:rPr>
        <w:rFonts w:asciiTheme="minorHAnsi" w:hAnsiTheme="minorHAnsi" w:cstheme="minorHAnsi"/>
        <w:b/>
        <w:bCs/>
        <w:i/>
        <w:iCs/>
      </w:rPr>
    </w:pPr>
    <w:r w:rsidRPr="006B56D4">
      <w:rPr>
        <w:rFonts w:asciiTheme="minorHAnsi" w:hAnsiTheme="minorHAnsi" w:cstheme="minorHAnsi"/>
        <w:b/>
        <w:bCs/>
        <w:i/>
        <w:iCs/>
        <w:sz w:val="20"/>
        <w:szCs w:val="20"/>
      </w:rPr>
      <w:t xml:space="preserve">Anais do 11º Encontro Internacional de Política </w:t>
    </w:r>
    <w:r w:rsidR="006B56D4" w:rsidRPr="006B56D4">
      <w:rPr>
        <w:rFonts w:asciiTheme="minorHAnsi" w:hAnsiTheme="minorHAnsi" w:cstheme="minorHAnsi"/>
        <w:b/>
        <w:bCs/>
        <w:i/>
        <w:iCs/>
        <w:sz w:val="20"/>
        <w:szCs w:val="20"/>
      </w:rPr>
      <w:t>S</w:t>
    </w:r>
    <w:r w:rsidRPr="006B56D4">
      <w:rPr>
        <w:rFonts w:asciiTheme="minorHAnsi" w:hAnsiTheme="minorHAnsi" w:cstheme="minorHAnsi"/>
        <w:b/>
        <w:bCs/>
        <w:i/>
        <w:iCs/>
        <w:sz w:val="20"/>
        <w:szCs w:val="20"/>
      </w:rPr>
      <w:t>ocial e 18º Encontro Nacional de Política Social</w:t>
    </w:r>
  </w:p>
  <w:p w14:paraId="14965AEA" w14:textId="77777777" w:rsidR="00602744" w:rsidRPr="006B56D4" w:rsidRDefault="00441A5E">
    <w:pPr>
      <w:spacing w:after="40"/>
      <w:jc w:val="center"/>
      <w:rPr>
        <w:rFonts w:asciiTheme="minorHAnsi" w:hAnsiTheme="minorHAnsi" w:cstheme="minorHAnsi"/>
        <w:b/>
        <w:bCs/>
        <w:i/>
        <w:iCs/>
      </w:rPr>
    </w:pPr>
    <w:r w:rsidRPr="006B56D4">
      <w:rPr>
        <w:rFonts w:asciiTheme="minorHAnsi" w:hAnsiTheme="minorHAnsi" w:cstheme="minorHAnsi"/>
        <w:b/>
        <w:bCs/>
        <w:i/>
        <w:iCs/>
        <w:sz w:val="20"/>
        <w:szCs w:val="20"/>
      </w:rPr>
      <w:t>ISSN 2175-098X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CE83" w14:textId="77777777" w:rsidR="006B56D4" w:rsidRPr="006B56D4" w:rsidRDefault="006B56D4" w:rsidP="006B56D4">
    <w:pPr>
      <w:widowControl/>
      <w:pBdr>
        <w:bottom w:val="single" w:sz="12" w:space="1" w:color="auto"/>
      </w:pBdr>
      <w:tabs>
        <w:tab w:val="center" w:pos="4252"/>
        <w:tab w:val="right" w:pos="8504"/>
      </w:tabs>
      <w:spacing w:after="0" w:line="240" w:lineRule="auto"/>
      <w:jc w:val="center"/>
      <w:rPr>
        <w:rFonts w:ascii="Calibri" w:eastAsia="Calibri" w:hAnsi="Calibri" w:cs="Calibri"/>
        <w:b/>
        <w:bCs/>
        <w:i/>
        <w:iCs/>
        <w:color w:val="000000"/>
        <w:sz w:val="20"/>
        <w:szCs w:val="20"/>
      </w:rPr>
    </w:pPr>
    <w:bookmarkStart w:id="2" w:name="_Hlk514790015"/>
  </w:p>
  <w:p w14:paraId="4B246FB3" w14:textId="77777777" w:rsidR="006B56D4" w:rsidRPr="006B56D4" w:rsidRDefault="006B56D4" w:rsidP="006B56D4">
    <w:pPr>
      <w:widowControl/>
      <w:tabs>
        <w:tab w:val="center" w:pos="4252"/>
        <w:tab w:val="right" w:pos="8504"/>
      </w:tabs>
      <w:spacing w:after="0" w:line="240" w:lineRule="auto"/>
      <w:jc w:val="center"/>
      <w:rPr>
        <w:rFonts w:ascii="Calibri" w:eastAsia="Calibri" w:hAnsi="Calibri" w:cs="Calibri"/>
        <w:b/>
        <w:bCs/>
        <w:i/>
        <w:iCs/>
        <w:color w:val="000000"/>
        <w:sz w:val="20"/>
        <w:szCs w:val="20"/>
      </w:rPr>
    </w:pPr>
    <w:r w:rsidRPr="006B56D4">
      <w:rPr>
        <w:rFonts w:ascii="Calibri" w:eastAsia="Calibri" w:hAnsi="Calibri" w:cs="Calibri"/>
        <w:b/>
        <w:bCs/>
        <w:i/>
        <w:iCs/>
        <w:color w:val="000000"/>
        <w:sz w:val="20"/>
        <w:szCs w:val="20"/>
      </w:rPr>
      <w:t>Anais do 11º Encontro Internacional de Política Social e 18º Encontro Nacional de Política Social</w:t>
    </w:r>
  </w:p>
  <w:p w14:paraId="14965AF4" w14:textId="7DDE9AEF" w:rsidR="00602744" w:rsidRPr="006B56D4" w:rsidRDefault="006B56D4" w:rsidP="006B56D4">
    <w:pPr>
      <w:widowControl/>
      <w:tabs>
        <w:tab w:val="center" w:pos="4252"/>
        <w:tab w:val="right" w:pos="8504"/>
      </w:tabs>
      <w:spacing w:after="0" w:line="240" w:lineRule="auto"/>
      <w:jc w:val="center"/>
      <w:rPr>
        <w:rFonts w:ascii="Calibri" w:eastAsia="Calibri" w:hAnsi="Calibri" w:cs="Calibri"/>
        <w:b/>
        <w:bCs/>
        <w:i/>
        <w:iCs/>
        <w:color w:val="000000"/>
        <w:sz w:val="20"/>
        <w:szCs w:val="20"/>
      </w:rPr>
    </w:pPr>
    <w:r w:rsidRPr="006B56D4">
      <w:rPr>
        <w:rFonts w:ascii="Calibri" w:eastAsia="Calibri" w:hAnsi="Calibri" w:cs="Calibri"/>
        <w:b/>
        <w:bCs/>
        <w:i/>
        <w:iCs/>
        <w:color w:val="000000"/>
        <w:sz w:val="20"/>
        <w:szCs w:val="20"/>
      </w:rPr>
      <w:t xml:space="preserve"> ISSN 2175-098X</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D8F35" w14:textId="77777777" w:rsidR="00CE4DE9" w:rsidRDefault="00CE4DE9">
      <w:pPr>
        <w:spacing w:after="0" w:line="240" w:lineRule="auto"/>
      </w:pPr>
      <w:r>
        <w:separator/>
      </w:r>
    </w:p>
  </w:footnote>
  <w:footnote w:type="continuationSeparator" w:id="0">
    <w:p w14:paraId="59823A6C" w14:textId="77777777" w:rsidR="00CE4DE9" w:rsidRDefault="00CE4DE9">
      <w:pPr>
        <w:spacing w:after="0" w:line="240" w:lineRule="auto"/>
      </w:pPr>
      <w:r>
        <w:continuationSeparator/>
      </w:r>
    </w:p>
  </w:footnote>
  <w:footnote w:id="1">
    <w:p w14:paraId="14965AFB" w14:textId="77777777" w:rsidR="00602744" w:rsidRDefault="00441A5E">
      <w:pPr>
        <w:pBdr>
          <w:top w:val="nil"/>
          <w:left w:val="nil"/>
          <w:bottom w:val="nil"/>
          <w:right w:val="nil"/>
          <w:between w:val="nil"/>
        </w:pBdr>
        <w:spacing w:after="0"/>
        <w:ind w:left="283" w:hanging="283"/>
        <w:rPr>
          <w:color w:val="000000"/>
          <w:sz w:val="20"/>
          <w:szCs w:val="20"/>
        </w:rPr>
      </w:pPr>
      <w:r>
        <w:rPr>
          <w:vertAlign w:val="superscript"/>
        </w:rPr>
        <w:footnoteRef/>
      </w:r>
      <w:r>
        <w:rPr>
          <w:color w:val="000000"/>
          <w:sz w:val="20"/>
          <w:szCs w:val="20"/>
        </w:rPr>
        <w:tab/>
      </w:r>
      <w:r w:rsidR="009F70C1">
        <w:rPr>
          <w:color w:val="000000"/>
          <w:sz w:val="20"/>
          <w:szCs w:val="20"/>
        </w:rPr>
        <w:t xml:space="preserve">Doutor em Serviço Social pelo PPGSS – UFRJ </w:t>
      </w:r>
      <w:r>
        <w:rPr>
          <w:color w:val="000000"/>
          <w:sz w:val="20"/>
          <w:szCs w:val="20"/>
        </w:rPr>
        <w:t>e</w:t>
      </w:r>
      <w:r w:rsidR="009F70C1">
        <w:rPr>
          <w:color w:val="000000"/>
          <w:sz w:val="20"/>
          <w:szCs w:val="20"/>
        </w:rPr>
        <w:t xml:space="preserve"> Pós Doutor em Sociologia pelo Centro de Investigação em Sociologia do ISCTE-IUL (Portugal). Professor da Escola de Serviço Social da UNIRIO. Email: brunojcoliveira@yahoo.com.br</w:t>
      </w:r>
      <w:r>
        <w:rPr>
          <w:color w:val="000000"/>
          <w:sz w:val="20"/>
          <w:szCs w:val="20"/>
        </w:rPr>
        <w:t xml:space="preserve">. </w:t>
      </w:r>
    </w:p>
  </w:footnote>
  <w:footnote w:id="2">
    <w:p w14:paraId="14965AFC" w14:textId="77777777" w:rsidR="009F70C1" w:rsidRDefault="009F70C1" w:rsidP="009F70C1">
      <w:pPr>
        <w:pStyle w:val="FootnoteText"/>
        <w:ind w:firstLine="708"/>
        <w:jc w:val="both"/>
      </w:pPr>
      <w:r>
        <w:rPr>
          <w:rStyle w:val="FootnoteReference"/>
        </w:rPr>
        <w:footnoteRef/>
      </w:r>
      <w:r>
        <w:t xml:space="preserve"> No dia 25 de novembro de 1975, após um período de crescente tensão política, militares que se opunham ao VI Governo Provisório, de orientação moderada, sublevaram-se numa tentativa de radicalização à esquerda da Revolução. Contudo, a ação desarticulada dos demais setores sociais e políticos alinhados à construção de uma experiência socialista em Portugal, resultou na dissuasão do movimento, pondo fim ao período mais agudo de disputa entre projetos societários iniciado em 25 de abril de 1974, conhecido como Processo Revolucionário em Curso (PREC). Para mais informações ver Augusto (2012),  Secco (2024) e Oliveira (2026).  </w:t>
      </w:r>
    </w:p>
  </w:footnote>
  <w:footnote w:id="3">
    <w:p w14:paraId="14965AFD" w14:textId="77777777" w:rsidR="009F70C1" w:rsidRDefault="009F70C1" w:rsidP="009F70C1">
      <w:pPr>
        <w:pStyle w:val="FootnoteText"/>
        <w:ind w:firstLine="708"/>
      </w:pPr>
      <w:r>
        <w:rPr>
          <w:rStyle w:val="FootnoteReference"/>
        </w:rPr>
        <w:footnoteRef/>
      </w:r>
      <w:r>
        <w:t xml:space="preserve"> Em 14 de janeiro de 1976 a sede do SAAL- Norte foi alvo de um atentado à bomba perpetrado por grupos de extrema-direita constituído por apoiadores da Ditadura do Estado Novo. Ver Carvalho (2014).</w:t>
      </w:r>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5AE8" w14:textId="77777777" w:rsidR="00602744" w:rsidRDefault="00441A5E">
    <w:pPr>
      <w:pBdr>
        <w:top w:val="nil"/>
        <w:left w:val="nil"/>
        <w:bottom w:val="nil"/>
        <w:right w:val="nil"/>
        <w:between w:val="nil"/>
      </w:pBdr>
      <w:tabs>
        <w:tab w:val="center" w:pos="1320"/>
        <w:tab w:val="center" w:pos="5255"/>
      </w:tabs>
      <w:spacing w:after="0" w:line="240" w:lineRule="auto"/>
      <w:ind w:left="1418"/>
      <w:jc w:val="right"/>
      <w:rPr>
        <w:b/>
        <w:bCs/>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566FFA">
      <w:rPr>
        <w:b/>
        <w:bCs/>
        <w:noProof/>
        <w:color w:val="000000"/>
        <w:sz w:val="16"/>
        <w:szCs w:val="16"/>
      </w:rPr>
      <w:t>13</w:t>
    </w:r>
    <w:r>
      <w:rPr>
        <w:b/>
        <w:bCs/>
        <w:color w:val="000000"/>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5AEE" w14:textId="339F7D36" w:rsidR="00602744" w:rsidRDefault="00602744">
    <w:pPr>
      <w:spacing w:after="0"/>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932BD"/>
    <w:multiLevelType w:val="multilevel"/>
    <w:tmpl w:val="69DC90AE"/>
    <w:lvl w:ilvl="0">
      <w:start w:val="1"/>
      <w:numFmt w:val="decimal"/>
      <w:lvlText w:val="%1"/>
      <w:lvlJc w:val="left"/>
      <w:pPr>
        <w:ind w:left="198" w:hanging="198"/>
      </w:pPr>
    </w:lvl>
    <w:lvl w:ilvl="1">
      <w:start w:val="1"/>
      <w:numFmt w:val="decimal"/>
      <w:lvlText w:val="%1.%2"/>
      <w:lvlJc w:val="left"/>
      <w:pPr>
        <w:ind w:left="454" w:hanging="454"/>
      </w:pPr>
    </w:lvl>
    <w:lvl w:ilvl="2">
      <w:start w:val="1"/>
      <w:numFmt w:val="decimal"/>
      <w:lvlText w:val="%1.%2.%3"/>
      <w:lvlJc w:val="left"/>
      <w:pPr>
        <w:ind w:left="720" w:hanging="720"/>
      </w:pPr>
    </w:lvl>
    <w:lvl w:ilvl="3">
      <w:start w:val="1"/>
      <w:numFmt w:val="decimal"/>
      <w:lvlText w:val="%1.%2.%3.%4"/>
      <w:lvlJc w:val="left"/>
      <w:pPr>
        <w:ind w:left="794" w:hanging="794"/>
      </w:pPr>
    </w:lvl>
    <w:lvl w:ilvl="4">
      <w:start w:val="1"/>
      <w:numFmt w:val="decimal"/>
      <w:lvlText w:val="%1.%2.%3.%4.%5"/>
      <w:lvlJc w:val="left"/>
      <w:pPr>
        <w:ind w:left="964" w:hanging="964"/>
      </w:pPr>
    </w:lvl>
    <w:lvl w:ilvl="5">
      <w:start w:val="1"/>
      <w:numFmt w:val="decimal"/>
      <w:lvlText w:val=""/>
      <w:lvlJc w:val="left"/>
      <w:pPr>
        <w:ind w:left="0" w:firstLine="0"/>
      </w:pPr>
    </w:lvl>
    <w:lvl w:ilvl="6">
      <w:start w:val="1"/>
      <w:numFmt w:val="decimal"/>
      <w:pStyle w:val="Heading7"/>
      <w:lvlText w:val=""/>
      <w:lvlJc w:val="left"/>
      <w:pPr>
        <w:ind w:left="0" w:firstLine="0"/>
      </w:pPr>
    </w:lvl>
    <w:lvl w:ilvl="7">
      <w:start w:val="1"/>
      <w:numFmt w:val="decimal"/>
      <w:pStyle w:val="Heading8"/>
      <w:lvlText w:val=""/>
      <w:lvlJc w:val="left"/>
      <w:pPr>
        <w:ind w:left="0" w:firstLine="0"/>
      </w:pPr>
    </w:lvl>
    <w:lvl w:ilvl="8">
      <w:start w:val="1"/>
      <w:numFmt w:val="decimal"/>
      <w:lvlText w:val=""/>
      <w:lvlJc w:val="left"/>
      <w:pPr>
        <w:ind w:left="0" w:firstLine="0"/>
      </w:pPr>
    </w:lvl>
  </w:abstractNum>
  <w:abstractNum w:abstractNumId="1" w15:restartNumberingAfterBreak="0">
    <w:nsid w:val="63632540"/>
    <w:multiLevelType w:val="hybridMultilevel"/>
    <w:tmpl w:val="CF50A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E0F6257"/>
    <w:multiLevelType w:val="hybridMultilevel"/>
    <w:tmpl w:val="DFEC125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9760870">
    <w:abstractNumId w:val="0"/>
  </w:num>
  <w:num w:numId="2" w16cid:durableId="1579289458">
    <w:abstractNumId w:val="2"/>
  </w:num>
  <w:num w:numId="3" w16cid:durableId="1378890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744"/>
    <w:rsid w:val="00013B9C"/>
    <w:rsid w:val="00053969"/>
    <w:rsid w:val="00240DDA"/>
    <w:rsid w:val="002909B3"/>
    <w:rsid w:val="002F6506"/>
    <w:rsid w:val="004060BA"/>
    <w:rsid w:val="00441A5E"/>
    <w:rsid w:val="00566FFA"/>
    <w:rsid w:val="00602744"/>
    <w:rsid w:val="006B56D4"/>
    <w:rsid w:val="006D27A5"/>
    <w:rsid w:val="00784B16"/>
    <w:rsid w:val="00784C0E"/>
    <w:rsid w:val="00807FDD"/>
    <w:rsid w:val="009952EE"/>
    <w:rsid w:val="009F70C1"/>
    <w:rsid w:val="00B61E32"/>
    <w:rsid w:val="00CE4DE9"/>
    <w:rsid w:val="00E45C3F"/>
    <w:rsid w:val="00EE73F5"/>
    <w:rsid w:val="00F818AE"/>
    <w:rsid w:val="00FD71DE"/>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65A4F"/>
  <w15:docId w15:val="{7731CD50-7897-404B-B956-D45E8702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before="238" w:after="238"/>
      <w:ind w:left="198" w:hanging="198"/>
      <w:outlineLvl w:val="0"/>
    </w:pPr>
    <w:rPr>
      <w:b/>
      <w:bCs/>
    </w:rPr>
  </w:style>
  <w:style w:type="paragraph" w:styleId="Heading2">
    <w:name w:val="heading 2"/>
    <w:basedOn w:val="Normal"/>
    <w:next w:val="Normal"/>
    <w:pPr>
      <w:ind w:left="454" w:hanging="454"/>
      <w:outlineLvl w:val="1"/>
    </w:pPr>
  </w:style>
  <w:style w:type="paragraph" w:styleId="Heading3">
    <w:name w:val="heading 3"/>
    <w:basedOn w:val="Normal"/>
    <w:next w:val="Normal"/>
    <w:pPr>
      <w:keepNext/>
      <w:spacing w:before="227" w:after="113"/>
      <w:outlineLvl w:val="2"/>
    </w:pPr>
    <w:rPr>
      <w:i/>
      <w:iCs/>
    </w:rPr>
  </w:style>
  <w:style w:type="paragraph" w:styleId="Heading4">
    <w:name w:val="heading 4"/>
    <w:basedOn w:val="Normal"/>
    <w:next w:val="Normal"/>
    <w:pPr>
      <w:keepNext/>
      <w:spacing w:before="238" w:after="119"/>
      <w:ind w:left="794" w:hanging="794"/>
      <w:outlineLvl w:val="3"/>
    </w:pPr>
  </w:style>
  <w:style w:type="paragraph" w:styleId="Heading5">
    <w:name w:val="heading 5"/>
    <w:basedOn w:val="Normal"/>
    <w:next w:val="Normal"/>
    <w:pPr>
      <w:keepNext/>
      <w:spacing w:before="238" w:after="119"/>
      <w:ind w:left="964" w:hanging="964"/>
      <w:outlineLvl w:val="4"/>
    </w:pPr>
  </w:style>
  <w:style w:type="paragraph" w:styleId="Heading6">
    <w:name w:val="heading 6"/>
    <w:basedOn w:val="Normal"/>
    <w:next w:val="Normal"/>
    <w:pPr>
      <w:keepNext/>
      <w:spacing w:before="238" w:after="119"/>
      <w:outlineLvl w:val="5"/>
    </w:pPr>
  </w:style>
  <w:style w:type="paragraph" w:styleId="Heading7">
    <w:name w:val="heading 7"/>
    <w:basedOn w:val="Captulo"/>
    <w:next w:val="BodyText"/>
    <w:qFormat/>
    <w:pPr>
      <w:numPr>
        <w:ilvl w:val="6"/>
        <w:numId w:val="1"/>
      </w:numPr>
      <w:outlineLvl w:val="6"/>
    </w:pPr>
    <w:rPr>
      <w:b/>
      <w:bCs/>
      <w:sz w:val="21"/>
      <w:szCs w:val="21"/>
    </w:rPr>
  </w:style>
  <w:style w:type="paragraph" w:styleId="Heading8">
    <w:name w:val="heading 8"/>
    <w:basedOn w:val="Captulo"/>
    <w:next w:val="BodyText"/>
    <w:qFormat/>
    <w:pPr>
      <w:numPr>
        <w:ilvl w:val="7"/>
        <w:numId w:val="1"/>
      </w:numPr>
      <w:outlineLvl w:val="7"/>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spacing w:before="240" w:after="120"/>
    </w:pPr>
    <w:rPr>
      <w:rFonts w:ascii="Arial" w:eastAsia="Arial" w:hAnsi="Arial" w:cs="Arial"/>
      <w:sz w:val="28"/>
      <w:szCs w:val="28"/>
    </w:rPr>
  </w:style>
  <w:style w:type="paragraph" w:styleId="BodyText">
    <w:name w:val="Body Text"/>
    <w:basedOn w:val="Normal"/>
    <w:qFormat/>
    <w:pPr>
      <w:widowControl/>
      <w:spacing w:after="0" w:line="360" w:lineRule="auto"/>
      <w:ind w:firstLine="1134"/>
      <w:jc w:val="both"/>
    </w:pPr>
  </w:style>
  <w:style w:type="paragraph" w:customStyle="1" w:styleId="Captulo">
    <w:name w:val="Capítulo"/>
    <w:basedOn w:val="Normal"/>
    <w:next w:val="BodyText"/>
    <w:qFormat/>
    <w:pPr>
      <w:keepNext/>
      <w:spacing w:before="238" w:after="119"/>
    </w:pPr>
    <w:rPr>
      <w:caps/>
      <w:sz w:val="28"/>
      <w:szCs w:val="28"/>
    </w:rPr>
  </w:style>
  <w:style w:type="paragraph" w:styleId="BodyTextIndent">
    <w:name w:val="Body Text Indent"/>
    <w:basedOn w:val="Normal"/>
    <w:qFormat/>
    <w:pPr>
      <w:spacing w:after="120"/>
      <w:ind w:left="283"/>
    </w:pPr>
  </w:style>
  <w:style w:type="paragraph" w:styleId="Caption">
    <w:name w:val="caption"/>
    <w:basedOn w:val="Normal"/>
    <w:next w:val="Normal"/>
    <w:qFormat/>
    <w:pPr>
      <w:suppressLineNumbers/>
      <w:spacing w:before="120" w:after="120"/>
      <w:jc w:val="center"/>
    </w:pPr>
    <w:rPr>
      <w:b/>
      <w:iCs/>
    </w:rPr>
  </w:style>
  <w:style w:type="paragraph" w:styleId="EnvelopeAddress">
    <w:name w:val="envelope address"/>
    <w:basedOn w:val="Normal"/>
    <w:qFormat/>
    <w:pPr>
      <w:suppressLineNumbers/>
      <w:spacing w:after="60"/>
    </w:pPr>
  </w:style>
  <w:style w:type="paragraph" w:styleId="Footer">
    <w:name w:val="footer"/>
    <w:basedOn w:val="Normal"/>
    <w:qFormat/>
    <w:pPr>
      <w:suppressLineNumbers/>
      <w:tabs>
        <w:tab w:val="center" w:pos="4535"/>
        <w:tab w:val="right" w:pos="9071"/>
      </w:tabs>
    </w:pPr>
  </w:style>
  <w:style w:type="paragraph" w:styleId="FootnoteText">
    <w:name w:val="footnote text"/>
    <w:basedOn w:val="Normal"/>
    <w:link w:val="FootnoteTextChar"/>
    <w:uiPriority w:val="99"/>
    <w:qFormat/>
    <w:pPr>
      <w:suppressLineNumbers/>
      <w:spacing w:after="0"/>
      <w:ind w:left="283" w:hanging="283"/>
    </w:pPr>
    <w:rPr>
      <w:sz w:val="20"/>
      <w:szCs w:val="20"/>
    </w:rPr>
  </w:style>
  <w:style w:type="paragraph" w:styleId="Header">
    <w:name w:val="header"/>
    <w:basedOn w:val="Normal"/>
    <w:qFormat/>
    <w:pPr>
      <w:suppressLineNumbers/>
      <w:tabs>
        <w:tab w:val="center" w:pos="1320"/>
        <w:tab w:val="center" w:pos="5255"/>
      </w:tabs>
      <w:spacing w:after="0" w:line="240" w:lineRule="auto"/>
      <w:ind w:left="1418"/>
      <w:jc w:val="center"/>
    </w:pPr>
    <w:rPr>
      <w:b/>
      <w:bCs/>
      <w:sz w:val="16"/>
      <w:szCs w:val="16"/>
    </w:rPr>
  </w:style>
  <w:style w:type="paragraph" w:styleId="Index1">
    <w:name w:val="index 1"/>
    <w:basedOn w:val="ndice"/>
    <w:next w:val="Normal"/>
    <w:qFormat/>
    <w:pPr>
      <w:spacing w:after="0"/>
    </w:pPr>
  </w:style>
  <w:style w:type="paragraph" w:customStyle="1" w:styleId="ndice">
    <w:name w:val="Índice"/>
    <w:basedOn w:val="Normal"/>
    <w:qFormat/>
    <w:pPr>
      <w:suppressLineNumbers/>
    </w:pPr>
  </w:style>
  <w:style w:type="paragraph" w:styleId="Index2">
    <w:name w:val="index 2"/>
    <w:basedOn w:val="ndice"/>
    <w:next w:val="Normal"/>
    <w:qFormat/>
    <w:pPr>
      <w:spacing w:after="0"/>
      <w:ind w:left="283"/>
    </w:pPr>
  </w:style>
  <w:style w:type="paragraph" w:styleId="Index3">
    <w:name w:val="index 3"/>
    <w:basedOn w:val="ndice"/>
    <w:next w:val="Normal"/>
    <w:qFormat/>
    <w:pPr>
      <w:spacing w:after="0"/>
      <w:ind w:left="566"/>
    </w:pPr>
  </w:style>
  <w:style w:type="paragraph" w:styleId="IndexHeading">
    <w:name w:val="index heading"/>
    <w:basedOn w:val="Ttulo1"/>
    <w:next w:val="Index1"/>
    <w:qFormat/>
    <w:pPr>
      <w:suppressLineNumbers/>
      <w:spacing w:before="0" w:after="0"/>
    </w:pPr>
    <w:rPr>
      <w:bCs/>
      <w:sz w:val="32"/>
      <w:szCs w:val="32"/>
    </w:rPr>
  </w:style>
  <w:style w:type="paragraph" w:customStyle="1" w:styleId="Ttulo1">
    <w:name w:val="Título1"/>
    <w:basedOn w:val="Normal"/>
    <w:next w:val="BodyText"/>
    <w:qFormat/>
    <w:pPr>
      <w:spacing w:before="240" w:after="120"/>
      <w:jc w:val="center"/>
    </w:pPr>
    <w:rPr>
      <w:rFonts w:eastAsia="DejaVu Sans" w:cs="DejaVu Sans"/>
      <w:b/>
      <w:szCs w:val="28"/>
    </w:rPr>
  </w:style>
  <w:style w:type="paragraph" w:styleId="List">
    <w:name w:val="List"/>
    <w:basedOn w:val="BodyText"/>
    <w:qFormat/>
  </w:style>
  <w:style w:type="paragraph" w:styleId="ListBullet3">
    <w:name w:val="List Bullet 3"/>
    <w:basedOn w:val="List"/>
    <w:qFormat/>
    <w:pPr>
      <w:spacing w:after="120"/>
      <w:ind w:left="720" w:hanging="360"/>
    </w:pPr>
  </w:style>
  <w:style w:type="paragraph" w:styleId="TableofAuthorities">
    <w:name w:val="table of authorities"/>
    <w:basedOn w:val="Ttulo1"/>
    <w:next w:val="Normal"/>
    <w:qFormat/>
    <w:pPr>
      <w:suppressLineNumbers/>
      <w:spacing w:before="0" w:after="0"/>
    </w:pPr>
    <w:rPr>
      <w:bCs/>
      <w:sz w:val="32"/>
      <w:szCs w:val="32"/>
    </w:rPr>
  </w:style>
  <w:style w:type="paragraph" w:styleId="TableofFigures">
    <w:name w:val="table of figures"/>
    <w:basedOn w:val="Caption"/>
    <w:next w:val="Fontedeilustrao"/>
    <w:qFormat/>
  </w:style>
  <w:style w:type="paragraph" w:customStyle="1" w:styleId="Fontedeilustrao">
    <w:name w:val="Fonte de ilustração"/>
    <w:basedOn w:val="Normal"/>
    <w:qFormat/>
    <w:pPr>
      <w:spacing w:after="113"/>
    </w:pPr>
    <w:rPr>
      <w:sz w:val="20"/>
    </w:rPr>
  </w:style>
  <w:style w:type="paragraph" w:styleId="TOAHeading">
    <w:name w:val="toa heading"/>
    <w:basedOn w:val="Ttulo1"/>
    <w:next w:val="Normal"/>
    <w:qFormat/>
    <w:pPr>
      <w:suppressLineNumbers/>
      <w:spacing w:before="0" w:after="119"/>
    </w:pPr>
    <w:rPr>
      <w:bCs/>
      <w:caps/>
      <w:szCs w:val="32"/>
    </w:rPr>
  </w:style>
  <w:style w:type="paragraph" w:styleId="TOC1">
    <w:name w:val="toc 1"/>
    <w:basedOn w:val="ndice"/>
    <w:next w:val="Normal"/>
    <w:qFormat/>
    <w:pPr>
      <w:tabs>
        <w:tab w:val="right" w:leader="dot" w:pos="9637"/>
      </w:tabs>
      <w:spacing w:before="113" w:after="0" w:line="360" w:lineRule="auto"/>
    </w:pPr>
    <w:rPr>
      <w:b/>
      <w:caps/>
    </w:rPr>
  </w:style>
  <w:style w:type="paragraph" w:styleId="TOC2">
    <w:name w:val="toc 2"/>
    <w:basedOn w:val="ndice"/>
    <w:next w:val="Normal"/>
    <w:qFormat/>
    <w:pPr>
      <w:tabs>
        <w:tab w:val="right" w:leader="dot" w:pos="9637"/>
      </w:tabs>
      <w:spacing w:after="0" w:line="360" w:lineRule="auto"/>
      <w:ind w:left="283"/>
    </w:pPr>
    <w:rPr>
      <w:caps/>
    </w:rPr>
  </w:style>
  <w:style w:type="paragraph" w:styleId="TOC3">
    <w:name w:val="toc 3"/>
    <w:basedOn w:val="ndice"/>
    <w:next w:val="Normal"/>
    <w:qFormat/>
    <w:pPr>
      <w:spacing w:after="0" w:line="360" w:lineRule="auto"/>
      <w:ind w:left="566"/>
    </w:pPr>
  </w:style>
  <w:style w:type="paragraph" w:styleId="TOC4">
    <w:name w:val="toc 4"/>
    <w:basedOn w:val="ndice"/>
    <w:next w:val="Normal"/>
    <w:qFormat/>
    <w:pPr>
      <w:spacing w:after="0" w:line="360" w:lineRule="auto"/>
      <w:ind w:left="709"/>
    </w:pPr>
  </w:style>
  <w:style w:type="paragraph" w:styleId="TOC5">
    <w:name w:val="toc 5"/>
    <w:basedOn w:val="ndice"/>
    <w:next w:val="Normal"/>
    <w:qFormat/>
    <w:pPr>
      <w:tabs>
        <w:tab w:val="right" w:leader="dot" w:pos="9071"/>
      </w:tabs>
      <w:spacing w:after="0" w:line="360" w:lineRule="auto"/>
      <w:ind w:left="850"/>
    </w:pPr>
  </w:style>
  <w:style w:type="paragraph" w:styleId="TOC6">
    <w:name w:val="toc 6"/>
    <w:basedOn w:val="TOC1"/>
    <w:next w:val="Normal"/>
    <w:qFormat/>
    <w:pPr>
      <w:tabs>
        <w:tab w:val="clear" w:pos="9637"/>
        <w:tab w:val="right" w:leader="dot" w:pos="9071"/>
      </w:tabs>
      <w:spacing w:before="0"/>
    </w:pPr>
  </w:style>
  <w:style w:type="paragraph" w:styleId="TOC7">
    <w:name w:val="toc 7"/>
    <w:basedOn w:val="ndice"/>
    <w:next w:val="Normal"/>
    <w:qFormat/>
    <w:pPr>
      <w:tabs>
        <w:tab w:val="right" w:leader="dot" w:pos="9071"/>
      </w:tabs>
      <w:spacing w:after="0"/>
      <w:ind w:left="1698"/>
    </w:pPr>
  </w:style>
  <w:style w:type="paragraph" w:styleId="TOC8">
    <w:name w:val="toc 8"/>
    <w:basedOn w:val="ndice"/>
    <w:next w:val="Normal"/>
    <w:qFormat/>
    <w:pPr>
      <w:tabs>
        <w:tab w:val="right" w:leader="dot" w:pos="9071"/>
      </w:tabs>
      <w:spacing w:after="0"/>
      <w:ind w:left="1981"/>
    </w:pPr>
  </w:style>
  <w:style w:type="paragraph" w:styleId="TOC9">
    <w:name w:val="toc 9"/>
    <w:basedOn w:val="ndice"/>
    <w:next w:val="Normal"/>
    <w:qFormat/>
    <w:pPr>
      <w:tabs>
        <w:tab w:val="right" w:leader="dot" w:pos="9071"/>
      </w:tabs>
      <w:spacing w:after="0"/>
      <w:ind w:left="2264"/>
    </w:pPr>
  </w:style>
  <w:style w:type="character" w:customStyle="1" w:styleId="Smbolosdenumerao">
    <w:name w:val="Símbolos de numeração"/>
    <w:qFormat/>
  </w:style>
  <w:style w:type="character" w:customStyle="1" w:styleId="Marcadores">
    <w:name w:val="Marcadores"/>
    <w:qFormat/>
    <w:rPr>
      <w:rFonts w:ascii="StarSymbol;Arial Unicode MS" w:eastAsia="StarSymbol;Arial Unicode MS" w:hAnsi="StarSymbol;Arial Unicode MS" w:cs="StarSymbol;Arial Unicode MS"/>
      <w:sz w:val="18"/>
      <w:szCs w:val="18"/>
    </w:rPr>
  </w:style>
  <w:style w:type="character" w:customStyle="1" w:styleId="Numeraodelinhas">
    <w:name w:val="Numeração de linhas"/>
    <w:qFormat/>
  </w:style>
  <w:style w:type="character" w:customStyle="1" w:styleId="CaracteresdeNotadeRodap">
    <w:name w:val="Caracteres de Nota de Rodapé"/>
    <w:qFormat/>
  </w:style>
  <w:style w:type="character" w:customStyle="1" w:styleId="Caracteresdenotaderodap0">
    <w:name w:val="Caracteres de nota de rodapé"/>
    <w:qFormat/>
    <w:rPr>
      <w:vertAlign w:val="superscript"/>
    </w:rPr>
  </w:style>
  <w:style w:type="character" w:customStyle="1" w:styleId="Caracteresdenotadefim">
    <w:name w:val="Caracteres de nota de fim"/>
    <w:qFormat/>
    <w:rPr>
      <w:vertAlign w:val="superscript"/>
    </w:rPr>
  </w:style>
  <w:style w:type="character" w:customStyle="1" w:styleId="CaracteresdeNotadeFim0">
    <w:name w:val="Caracteres de Nota de Fim"/>
    <w:qFormat/>
  </w:style>
  <w:style w:type="character" w:customStyle="1" w:styleId="ncoradanotaderodap">
    <w:name w:val="Âncora da nota de rodapé"/>
    <w:qFormat/>
    <w:rPr>
      <w:vertAlign w:val="superscript"/>
    </w:rPr>
  </w:style>
  <w:style w:type="character" w:customStyle="1" w:styleId="nfaseforte">
    <w:name w:val="Ênfase forte"/>
    <w:qFormat/>
    <w:rPr>
      <w:b/>
      <w:bCs/>
    </w:rPr>
  </w:style>
  <w:style w:type="character" w:customStyle="1" w:styleId="Marcas">
    <w:name w:val="Marcas"/>
    <w:qFormat/>
    <w:rPr>
      <w:rFonts w:ascii="OpenSymbol" w:eastAsia="OpenSymbol" w:hAnsi="OpenSymbol" w:cs="OpenSymbol"/>
    </w:rPr>
  </w:style>
  <w:style w:type="character" w:customStyle="1" w:styleId="nfase1">
    <w:name w:val="Ênfase1"/>
    <w:qFormat/>
    <w:rPr>
      <w:i/>
      <w:iCs/>
    </w:rPr>
  </w:style>
  <w:style w:type="character" w:customStyle="1" w:styleId="LinkdaInternet">
    <w:name w:val="Link da Internet"/>
    <w:qFormat/>
    <w:rPr>
      <w:color w:val="000080"/>
      <w:u w:val="single"/>
      <w:lang w:eastAsia="zh-CN" w:bidi="zh-CN"/>
    </w:rPr>
  </w:style>
  <w:style w:type="character" w:customStyle="1" w:styleId="Palavraestrangeira">
    <w:name w:val="Palavra estrangeira"/>
    <w:basedOn w:val="nfase1"/>
    <w:qFormat/>
    <w:rPr>
      <w:i/>
      <w:iCs/>
    </w:rPr>
  </w:style>
  <w:style w:type="character" w:customStyle="1" w:styleId="Varivel">
    <w:name w:val="Variável"/>
    <w:qFormat/>
    <w:rPr>
      <w:i/>
      <w:iCs/>
    </w:rPr>
  </w:style>
  <w:style w:type="character" w:customStyle="1" w:styleId="Vnculodendice">
    <w:name w:val="Vínculo de índice"/>
    <w:qFormat/>
  </w:style>
  <w:style w:type="character" w:customStyle="1" w:styleId="Teletipo">
    <w:name w:val="Teletipo"/>
    <w:qFormat/>
    <w:rPr>
      <w:rFonts w:ascii="Droid Sans Mono" w:eastAsia="Droid Sans Mono" w:hAnsi="Droid Sans Mono" w:cs="Droid Sans Mono"/>
    </w:rPr>
  </w:style>
  <w:style w:type="character" w:customStyle="1" w:styleId="Legenda1">
    <w:name w:val="Legenda1"/>
    <w:qFormat/>
    <w:rPr>
      <w:rFonts w:ascii="Arial" w:hAnsi="Arial"/>
      <w:b/>
      <w:sz w:val="20"/>
    </w:rPr>
  </w:style>
  <w:style w:type="character" w:customStyle="1" w:styleId="Character20style">
    <w:name w:val="Character_20_style"/>
    <w:qFormat/>
  </w:style>
  <w:style w:type="character" w:customStyle="1" w:styleId="ncoradanotadefim">
    <w:name w:val="Âncora da nota de fim"/>
    <w:qFormat/>
    <w:rPr>
      <w:vertAlign w:val="superscript"/>
    </w:rPr>
  </w:style>
  <w:style w:type="paragraph" w:customStyle="1" w:styleId="CabealhoeRodap">
    <w:name w:val="Cabeçalho e Rodapé"/>
    <w:basedOn w:val="Normal"/>
    <w:qFormat/>
    <w:pPr>
      <w:suppressLineNumbers/>
      <w:tabs>
        <w:tab w:val="center" w:pos="4819"/>
        <w:tab w:val="right" w:pos="9638"/>
      </w:tabs>
    </w:pPr>
  </w:style>
  <w:style w:type="paragraph" w:customStyle="1" w:styleId="Bibliografia1">
    <w:name w:val="Bibliografia 1"/>
    <w:basedOn w:val="ndice"/>
    <w:qFormat/>
    <w:pPr>
      <w:tabs>
        <w:tab w:val="right" w:leader="dot" w:pos="9637"/>
      </w:tabs>
      <w:spacing w:after="283"/>
    </w:pPr>
  </w:style>
  <w:style w:type="paragraph" w:customStyle="1" w:styleId="Autores">
    <w:name w:val="Autores"/>
    <w:basedOn w:val="Normal"/>
    <w:qFormat/>
    <w:pPr>
      <w:jc w:val="right"/>
    </w:pPr>
    <w:rPr>
      <w:b/>
    </w:rPr>
  </w:style>
  <w:style w:type="paragraph" w:customStyle="1" w:styleId="Recuodeslocado">
    <w:name w:val="Recuo deslocado"/>
    <w:basedOn w:val="BodyText"/>
    <w:qFormat/>
    <w:pPr>
      <w:tabs>
        <w:tab w:val="left" w:pos="567"/>
      </w:tabs>
      <w:ind w:left="567" w:hanging="283"/>
    </w:pPr>
  </w:style>
  <w:style w:type="paragraph" w:customStyle="1" w:styleId="Notasdemargemdepgina">
    <w:name w:val="Notas de margem de página"/>
    <w:basedOn w:val="BodyText"/>
    <w:qFormat/>
    <w:pPr>
      <w:ind w:left="2268" w:firstLine="0"/>
    </w:pPr>
  </w:style>
  <w:style w:type="paragraph" w:customStyle="1" w:styleId="Contedodatabela">
    <w:name w:val="Conteúdo da tabela"/>
    <w:basedOn w:val="Normal"/>
    <w:qFormat/>
    <w:pPr>
      <w:suppressLineNumbers/>
    </w:pPr>
  </w:style>
  <w:style w:type="paragraph" w:customStyle="1" w:styleId="Contedodoquadro">
    <w:name w:val="Conteúdo do quadro"/>
    <w:basedOn w:val="BodyText"/>
    <w:qFormat/>
    <w:pPr>
      <w:jc w:val="left"/>
    </w:pPr>
  </w:style>
  <w:style w:type="paragraph" w:customStyle="1" w:styleId="Figura">
    <w:name w:val="Figura"/>
    <w:basedOn w:val="Caption"/>
    <w:next w:val="Fontedeilustrao"/>
    <w:qFormat/>
  </w:style>
  <w:style w:type="paragraph" w:customStyle="1" w:styleId="IllustrationIndex1">
    <w:name w:val="Illustration Index 1"/>
    <w:basedOn w:val="ndice"/>
    <w:qFormat/>
    <w:pPr>
      <w:tabs>
        <w:tab w:val="right" w:leader="dot" w:pos="9071"/>
      </w:tabs>
      <w:spacing w:after="0"/>
    </w:pPr>
  </w:style>
  <w:style w:type="paragraph" w:customStyle="1" w:styleId="Citaes">
    <w:name w:val="Citações"/>
    <w:basedOn w:val="BodyText"/>
    <w:next w:val="BodyText"/>
    <w:qFormat/>
    <w:pPr>
      <w:keepLines/>
      <w:widowControl w:val="0"/>
      <w:spacing w:before="283" w:after="283" w:line="240" w:lineRule="auto"/>
      <w:ind w:left="2268" w:firstLine="0"/>
    </w:pPr>
    <w:rPr>
      <w:sz w:val="20"/>
    </w:rPr>
  </w:style>
  <w:style w:type="paragraph" w:customStyle="1" w:styleId="Ttulodeapndice">
    <w:name w:val="Título de apêndice"/>
    <w:basedOn w:val="Captulo"/>
    <w:next w:val="BodyText"/>
    <w:qFormat/>
    <w:pPr>
      <w:spacing w:before="0"/>
    </w:pPr>
    <w:rPr>
      <w:b/>
      <w:caps w:val="0"/>
      <w:sz w:val="24"/>
    </w:rPr>
  </w:style>
  <w:style w:type="paragraph" w:customStyle="1" w:styleId="Tabela">
    <w:name w:val="Tabela"/>
    <w:basedOn w:val="Caption"/>
    <w:qFormat/>
    <w:pPr>
      <w:jc w:val="left"/>
    </w:pPr>
  </w:style>
  <w:style w:type="paragraph" w:customStyle="1" w:styleId="RecuodaLista">
    <w:name w:val="Recuo da Lista"/>
    <w:basedOn w:val="BodyText"/>
    <w:qFormat/>
    <w:pPr>
      <w:tabs>
        <w:tab w:val="left" w:pos="2835"/>
      </w:tabs>
      <w:ind w:left="2835" w:hanging="2551"/>
    </w:pPr>
  </w:style>
  <w:style w:type="paragraph" w:customStyle="1" w:styleId="Tabeladeapndice">
    <w:name w:val="Tabela de apêndice"/>
    <w:basedOn w:val="Tabela"/>
    <w:qFormat/>
  </w:style>
  <w:style w:type="paragraph" w:customStyle="1" w:styleId="Notaparaaequipe">
    <w:name w:val="Nota para a equipe"/>
    <w:basedOn w:val="Normal"/>
    <w:qFormat/>
    <w:rPr>
      <w:b/>
      <w:color w:val="FF0000"/>
    </w:rPr>
  </w:style>
  <w:style w:type="paragraph" w:customStyle="1" w:styleId="Rodapdireita">
    <w:name w:val="Rodapé à direita"/>
    <w:basedOn w:val="Normal"/>
    <w:qFormat/>
    <w:pPr>
      <w:suppressLineNumbers/>
      <w:tabs>
        <w:tab w:val="center" w:pos="4535"/>
        <w:tab w:val="right" w:pos="9071"/>
      </w:tabs>
    </w:pPr>
  </w:style>
  <w:style w:type="paragraph" w:customStyle="1" w:styleId="Rodapesquerda">
    <w:name w:val="Rodapé à esquerda"/>
    <w:basedOn w:val="Normal"/>
    <w:qFormat/>
    <w:pPr>
      <w:suppressLineNumbers/>
      <w:tabs>
        <w:tab w:val="center" w:pos="4535"/>
        <w:tab w:val="right" w:pos="9071"/>
      </w:tabs>
    </w:pPr>
  </w:style>
  <w:style w:type="paragraph" w:customStyle="1" w:styleId="Separadordendice">
    <w:name w:val="Separador de Índice"/>
    <w:basedOn w:val="ndice"/>
    <w:qFormat/>
    <w:pPr>
      <w:spacing w:after="0"/>
    </w:pPr>
  </w:style>
  <w:style w:type="paragraph" w:customStyle="1" w:styleId="Primeirorecuodecorpodetexto1">
    <w:name w:val="Primeiro recuo de corpo de texto1"/>
    <w:basedOn w:val="BodyText"/>
    <w:qFormat/>
    <w:pPr>
      <w:ind w:firstLine="210"/>
    </w:pPr>
  </w:style>
  <w:style w:type="paragraph" w:customStyle="1" w:styleId="Saudao1">
    <w:name w:val="Saudação1"/>
    <w:basedOn w:val="Normal"/>
    <w:next w:val="Normal"/>
    <w:qFormat/>
  </w:style>
  <w:style w:type="paragraph" w:customStyle="1" w:styleId="Commarcadores31">
    <w:name w:val="Com marcadores 31"/>
    <w:basedOn w:val="Normal"/>
    <w:qFormat/>
    <w:pPr>
      <w:spacing w:after="0"/>
    </w:pPr>
  </w:style>
  <w:style w:type="paragraph" w:customStyle="1" w:styleId="Ttulodeanexo">
    <w:name w:val="Título de anexo"/>
    <w:basedOn w:val="Ttulodeapndice"/>
    <w:next w:val="Normal"/>
    <w:qFormat/>
  </w:style>
  <w:style w:type="paragraph" w:customStyle="1" w:styleId="ndicedatabela1">
    <w:name w:val="Índice da tabela 1"/>
    <w:basedOn w:val="ndice"/>
    <w:qFormat/>
    <w:pPr>
      <w:tabs>
        <w:tab w:val="right" w:leader="dot" w:pos="9071"/>
      </w:tabs>
      <w:spacing w:after="0"/>
    </w:pPr>
  </w:style>
  <w:style w:type="paragraph" w:customStyle="1" w:styleId="Texto">
    <w:name w:val="Texto"/>
    <w:basedOn w:val="Caption"/>
    <w:qFormat/>
  </w:style>
  <w:style w:type="paragraph" w:customStyle="1" w:styleId="Sumrio10">
    <w:name w:val="Sumário 10"/>
    <w:basedOn w:val="ndice"/>
    <w:qFormat/>
    <w:pPr>
      <w:tabs>
        <w:tab w:val="right" w:leader="dot" w:pos="7090"/>
      </w:tabs>
      <w:spacing w:after="0"/>
      <w:ind w:left="2547"/>
    </w:pPr>
  </w:style>
  <w:style w:type="paragraph" w:customStyle="1" w:styleId="Ttulodetabela">
    <w:name w:val="Título de tabela"/>
    <w:basedOn w:val="Contedodatabela"/>
    <w:qFormat/>
    <w:pPr>
      <w:jc w:val="center"/>
    </w:pPr>
    <w:rPr>
      <w:b/>
      <w:bCs/>
    </w:rPr>
  </w:style>
  <w:style w:type="paragraph" w:customStyle="1" w:styleId="Objetocomseta">
    <w:name w:val="Objeto com seta"/>
    <w:basedOn w:val="Normal"/>
    <w:qFormat/>
  </w:style>
  <w:style w:type="paragraph" w:customStyle="1" w:styleId="Objetocomsombra">
    <w:name w:val="Objeto com sombra"/>
    <w:basedOn w:val="Normal"/>
    <w:qFormat/>
  </w:style>
  <w:style w:type="paragraph" w:customStyle="1" w:styleId="Objetosempreenchimento">
    <w:name w:val="Objeto sem preenchimento"/>
    <w:basedOn w:val="Normal"/>
    <w:qFormat/>
  </w:style>
  <w:style w:type="paragraph" w:customStyle="1" w:styleId="Recuodaprimeiralinha">
    <w:name w:val="Recuo da primeira linha"/>
    <w:basedOn w:val="Normal"/>
    <w:qFormat/>
    <w:pPr>
      <w:spacing w:after="0"/>
      <w:ind w:firstLine="340"/>
    </w:pPr>
  </w:style>
  <w:style w:type="paragraph" w:customStyle="1" w:styleId="Linhadecota">
    <w:name w:val="Linha de cota"/>
    <w:basedOn w:val="Normal"/>
    <w:qFormat/>
  </w:style>
  <w:style w:type="paragraph" w:customStyle="1" w:styleId="Estruturadetpicos1">
    <w:name w:val="Estrutura de tópicos 1"/>
    <w:qFormat/>
    <w:pPr>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pacing w:before="160" w:after="0" w:line="240" w:lineRule="auto"/>
      <w:ind w:left="540" w:hanging="540"/>
    </w:pPr>
    <w:rPr>
      <w:rFonts w:ascii="Droid Sans Fallback" w:eastAsia="Droid Sans Fallback" w:hAnsi="Droid Sans Fallback" w:cs="Droid Sans Fallback"/>
      <w:color w:val="002060"/>
      <w:kern w:val="2"/>
      <w:sz w:val="64"/>
      <w:szCs w:val="64"/>
      <w:lang w:eastAsia="zh-CN" w:bidi="zh-CN"/>
    </w:rPr>
  </w:style>
  <w:style w:type="paragraph" w:customStyle="1" w:styleId="Estruturadetpicos2">
    <w:name w:val="Estrutura de tópicos 2"/>
    <w:basedOn w:val="Estruturadetpicos1"/>
    <w:qFormat/>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before="139"/>
      <w:ind w:left="1170" w:hanging="450"/>
    </w:pPr>
    <w:rPr>
      <w:sz w:val="56"/>
      <w:szCs w:val="56"/>
    </w:rPr>
  </w:style>
  <w:style w:type="paragraph" w:customStyle="1" w:styleId="Estruturadetpicos3">
    <w:name w:val="Estrutura de tópicos 3"/>
    <w:basedOn w:val="Estruturadetpicos2"/>
    <w:qFormat/>
    <w:pPr>
      <w:tabs>
        <w:tab w:val="clear" w:pos="-1170"/>
        <w:tab w:val="clear" w:pos="-925"/>
        <w:tab w:val="clear" w:pos="-218"/>
        <w:tab w:val="clear" w:pos="490"/>
        <w:tab w:val="clear" w:pos="1197"/>
        <w:tab w:val="clear" w:pos="1904"/>
        <w:tab w:val="clear" w:pos="2612"/>
        <w:tab w:val="clear" w:pos="3320"/>
        <w:tab w:val="clear" w:pos="4027"/>
        <w:tab w:val="clear" w:pos="4735"/>
        <w:tab w:val="clear" w:pos="5442"/>
        <w:tab w:val="clear" w:pos="6150"/>
        <w:tab w:val="clear" w:pos="6857"/>
        <w:tab w:val="clear" w:pos="7565"/>
        <w:tab w:val="clear" w:pos="8272"/>
        <w:tab w:val="clear" w:pos="8980"/>
        <w:tab w:val="clear" w:pos="9687"/>
        <w:tab w:val="clear" w:pos="10395"/>
        <w:tab w:val="clear" w:pos="11102"/>
        <w:tab w:val="clear" w:pos="11810"/>
        <w:tab w:val="clear" w:pos="12517"/>
        <w:tab w:val="left" w:pos="-1800"/>
        <w:tab w:val="left" w:pos="-1478"/>
        <w:tab w:val="left" w:pos="-770"/>
        <w:tab w:val="left" w:pos="-63"/>
        <w:tab w:val="left" w:pos="645"/>
        <w:tab w:val="left" w:pos="1352"/>
        <w:tab w:val="left" w:pos="2060"/>
        <w:tab w:val="left" w:pos="2767"/>
        <w:tab w:val="left" w:pos="3475"/>
        <w:tab w:val="left" w:pos="4182"/>
        <w:tab w:val="left" w:pos="4890"/>
        <w:tab w:val="left" w:pos="5597"/>
        <w:tab w:val="left" w:pos="6305"/>
        <w:tab w:val="left" w:pos="7012"/>
        <w:tab w:val="left" w:pos="7720"/>
        <w:tab w:val="left" w:pos="8427"/>
        <w:tab w:val="left" w:pos="9135"/>
        <w:tab w:val="left" w:pos="9842"/>
        <w:tab w:val="left" w:pos="10550"/>
        <w:tab w:val="left" w:pos="11257"/>
        <w:tab w:val="left" w:pos="11964"/>
      </w:tabs>
      <w:spacing w:before="120"/>
      <w:ind w:left="1800" w:hanging="360"/>
    </w:pPr>
    <w:rPr>
      <w:sz w:val="48"/>
      <w:szCs w:val="48"/>
    </w:rPr>
  </w:style>
  <w:style w:type="paragraph" w:customStyle="1" w:styleId="Estruturadetpicos4">
    <w:name w:val="Estrutura de tópicos 4"/>
    <w:basedOn w:val="Estruturadetpicos3"/>
    <w:qFormat/>
    <w:pPr>
      <w:tabs>
        <w:tab w:val="clear" w:pos="-1800"/>
        <w:tab w:val="clear" w:pos="-1478"/>
        <w:tab w:val="clear" w:pos="-770"/>
        <w:tab w:val="clear" w:pos="-63"/>
        <w:tab w:val="clear" w:pos="645"/>
        <w:tab w:val="clear" w:pos="1352"/>
        <w:tab w:val="clear" w:pos="2060"/>
        <w:tab w:val="clear" w:pos="2767"/>
        <w:tab w:val="clear" w:pos="3475"/>
        <w:tab w:val="clear" w:pos="4182"/>
        <w:tab w:val="clear" w:pos="4890"/>
        <w:tab w:val="clear" w:pos="5597"/>
        <w:tab w:val="clear" w:pos="6305"/>
        <w:tab w:val="clear" w:pos="7012"/>
        <w:tab w:val="clear" w:pos="7720"/>
        <w:tab w:val="clear" w:pos="8427"/>
        <w:tab w:val="clear" w:pos="9135"/>
        <w:tab w:val="clear" w:pos="9842"/>
        <w:tab w:val="clear" w:pos="10550"/>
        <w:tab w:val="clear" w:pos="11257"/>
        <w:tab w:val="clear" w:pos="11964"/>
        <w:tab w:val="left" w:pos="-2520"/>
        <w:tab w:val="left" w:pos="-2210"/>
        <w:tab w:val="left" w:pos="-1503"/>
        <w:tab w:val="left" w:pos="-795"/>
        <w:tab w:val="left" w:pos="-88"/>
        <w:tab w:val="left" w:pos="620"/>
        <w:tab w:val="left" w:pos="1327"/>
        <w:tab w:val="left" w:pos="2035"/>
        <w:tab w:val="left" w:pos="2742"/>
        <w:tab w:val="left" w:pos="3450"/>
        <w:tab w:val="left" w:pos="4157"/>
        <w:tab w:val="left" w:pos="4865"/>
        <w:tab w:val="left" w:pos="5572"/>
        <w:tab w:val="left" w:pos="6280"/>
        <w:tab w:val="left" w:pos="6987"/>
        <w:tab w:val="left" w:pos="7695"/>
        <w:tab w:val="left" w:pos="8402"/>
        <w:tab w:val="left" w:pos="9110"/>
        <w:tab w:val="left" w:pos="9817"/>
        <w:tab w:val="left" w:pos="10524"/>
        <w:tab w:val="left" w:pos="11232"/>
      </w:tabs>
      <w:spacing w:before="100"/>
      <w:ind w:left="2520"/>
    </w:pPr>
    <w:rPr>
      <w:sz w:val="40"/>
      <w:szCs w:val="40"/>
    </w:rPr>
  </w:style>
  <w:style w:type="paragraph" w:customStyle="1" w:styleId="Estruturadetpicos5">
    <w:name w:val="Estrutura de tópicos 5"/>
    <w:basedOn w:val="Estruturadetpicos4"/>
    <w:qFormat/>
    <w:pPr>
      <w:tabs>
        <w:tab w:val="clear" w:pos="-2520"/>
        <w:tab w:val="clear" w:pos="-2210"/>
        <w:tab w:val="clear" w:pos="-1503"/>
        <w:tab w:val="clear" w:pos="-795"/>
        <w:tab w:val="clear" w:pos="-88"/>
        <w:tab w:val="clear" w:pos="620"/>
        <w:tab w:val="clear" w:pos="1327"/>
        <w:tab w:val="clear" w:pos="2035"/>
        <w:tab w:val="clear" w:pos="2742"/>
        <w:tab w:val="clear" w:pos="3450"/>
        <w:tab w:val="clear" w:pos="4157"/>
        <w:tab w:val="clear" w:pos="4865"/>
        <w:tab w:val="clear" w:pos="5572"/>
        <w:tab w:val="clear" w:pos="6280"/>
        <w:tab w:val="clear" w:pos="6987"/>
        <w:tab w:val="clear" w:pos="7695"/>
        <w:tab w:val="clear" w:pos="8402"/>
        <w:tab w:val="clear" w:pos="9110"/>
        <w:tab w:val="clear" w:pos="9817"/>
        <w:tab w:val="clear" w:pos="10524"/>
        <w:tab w:val="clear" w:pos="11232"/>
        <w:tab w:val="left" w:pos="-3240"/>
        <w:tab w:val="left" w:pos="-2943"/>
        <w:tab w:val="left" w:pos="-2235"/>
        <w:tab w:val="left" w:pos="-1528"/>
        <w:tab w:val="left" w:pos="-820"/>
        <w:tab w:val="left" w:pos="-113"/>
        <w:tab w:val="left" w:pos="595"/>
        <w:tab w:val="left" w:pos="1302"/>
        <w:tab w:val="left" w:pos="2010"/>
        <w:tab w:val="left" w:pos="2717"/>
        <w:tab w:val="left" w:pos="3425"/>
        <w:tab w:val="left" w:pos="4132"/>
        <w:tab w:val="left" w:pos="4840"/>
        <w:tab w:val="left" w:pos="5547"/>
        <w:tab w:val="left" w:pos="6255"/>
        <w:tab w:val="left" w:pos="6962"/>
        <w:tab w:val="left" w:pos="7670"/>
        <w:tab w:val="left" w:pos="8377"/>
        <w:tab w:val="left" w:pos="9084"/>
        <w:tab w:val="left" w:pos="9792"/>
        <w:tab w:val="left" w:pos="10500"/>
      </w:tabs>
      <w:spacing w:before="0"/>
      <w:ind w:left="3240"/>
    </w:pPr>
  </w:style>
  <w:style w:type="paragraph" w:customStyle="1" w:styleId="Estruturadetpicos6">
    <w:name w:val="Estrutura de tópicos 6"/>
    <w:basedOn w:val="Estruturadetpicos5"/>
    <w:qFormat/>
  </w:style>
  <w:style w:type="paragraph" w:customStyle="1" w:styleId="Estruturadetpicos7">
    <w:name w:val="Estrutura de tópicos 7"/>
    <w:basedOn w:val="Estruturadetpicos6"/>
    <w:qFormat/>
  </w:style>
  <w:style w:type="paragraph" w:customStyle="1" w:styleId="Estruturadetpicos8">
    <w:name w:val="Estrutura de tópicos 8"/>
    <w:basedOn w:val="Estruturadetpicos7"/>
    <w:qFormat/>
  </w:style>
  <w:style w:type="paragraph" w:customStyle="1" w:styleId="Estruturadetpicos9">
    <w:name w:val="Estrutura de tópicos 9"/>
    <w:basedOn w:val="Estruturadetpicos8"/>
    <w:qFormat/>
  </w:style>
  <w:style w:type="paragraph" w:customStyle="1" w:styleId="IllustrationIndexHeading">
    <w:name w:val="Illustration Index Heading"/>
    <w:basedOn w:val="Ttulo1"/>
    <w:qFormat/>
    <w:pPr>
      <w:suppressLineNumbers/>
      <w:spacing w:before="0" w:after="119"/>
    </w:pPr>
    <w:rPr>
      <w:b w:val="0"/>
      <w:bCs/>
      <w:caps/>
      <w:szCs w:val="32"/>
    </w:rPr>
  </w:style>
  <w:style w:type="paragraph" w:customStyle="1" w:styleId="TtulodondicedeTabelas">
    <w:name w:val="Título do índice de Tabelas"/>
    <w:basedOn w:val="IllustrationIndexHeading"/>
    <w:qFormat/>
  </w:style>
  <w:style w:type="paragraph" w:customStyle="1" w:styleId="Ttulodondicedetabelas0">
    <w:name w:val="Título do índice de tabelas"/>
    <w:basedOn w:val="IllustrationIndexHeading"/>
    <w:qFormat/>
    <w:pPr>
      <w:spacing w:after="0"/>
    </w:pPr>
    <w:rPr>
      <w:b/>
      <w:sz w:val="32"/>
    </w:rPr>
  </w:style>
  <w:style w:type="paragraph" w:customStyle="1" w:styleId="TtuloPr-textual">
    <w:name w:val="Título Pré-textual"/>
    <w:basedOn w:val="Normal"/>
    <w:next w:val="BodyText"/>
    <w:qFormat/>
    <w:pPr>
      <w:spacing w:after="283" w:line="240" w:lineRule="auto"/>
      <w:jc w:val="center"/>
    </w:pPr>
    <w:rPr>
      <w:b/>
    </w:rPr>
  </w:style>
  <w:style w:type="paragraph" w:customStyle="1" w:styleId="Frmula">
    <w:name w:val="Fórmula"/>
    <w:basedOn w:val="BodyText"/>
    <w:qFormat/>
    <w:pPr>
      <w:tabs>
        <w:tab w:val="right" w:pos="8787"/>
      </w:tabs>
      <w:spacing w:line="240" w:lineRule="auto"/>
      <w:ind w:left="1134" w:firstLine="0"/>
      <w:jc w:val="left"/>
    </w:pPr>
  </w:style>
  <w:style w:type="paragraph" w:customStyle="1" w:styleId="Siglas">
    <w:name w:val="Siglas"/>
    <w:basedOn w:val="Normal"/>
    <w:qFormat/>
    <w:pPr>
      <w:spacing w:after="142" w:line="360" w:lineRule="auto"/>
      <w:ind w:left="2268" w:hanging="2268"/>
    </w:pPr>
  </w:style>
  <w:style w:type="paragraph" w:customStyle="1" w:styleId="Alneas">
    <w:name w:val="Alíneas"/>
    <w:basedOn w:val="BodyText"/>
    <w:qFormat/>
  </w:style>
  <w:style w:type="paragraph" w:customStyle="1" w:styleId="Grfico">
    <w:name w:val="Gráfico"/>
    <w:basedOn w:val="Caption"/>
    <w:next w:val="Fontedeilustrao"/>
    <w:qFormat/>
  </w:style>
  <w:style w:type="paragraph" w:customStyle="1" w:styleId="Glossrio">
    <w:name w:val="Glossário"/>
    <w:basedOn w:val="Siglas"/>
    <w:qFormat/>
  </w:style>
  <w:style w:type="paragraph" w:customStyle="1" w:styleId="Cdigo">
    <w:name w:val="Código"/>
    <w:basedOn w:val="BodyText"/>
    <w:qFormat/>
    <w:pPr>
      <w:pBdr>
        <w:top w:val="single" w:sz="2" w:space="1" w:color="000000"/>
        <w:left w:val="single" w:sz="2" w:space="1" w:color="000000"/>
        <w:bottom w:val="single" w:sz="2" w:space="1" w:color="000000"/>
        <w:right w:val="single" w:sz="2" w:space="1" w:color="000000"/>
      </w:pBdr>
      <w:spacing w:line="240" w:lineRule="auto"/>
      <w:ind w:firstLine="0"/>
      <w:jc w:val="left"/>
    </w:pPr>
    <w:rPr>
      <w:rFonts w:ascii="Courier 10 Pitch" w:hAnsi="Courier 10 Pitch"/>
      <w:sz w:val="20"/>
    </w:rPr>
  </w:style>
  <w:style w:type="paragraph" w:customStyle="1" w:styleId="Abstract">
    <w:name w:val="Abstract"/>
    <w:basedOn w:val="AbstractTtulo"/>
    <w:qFormat/>
    <w:pPr>
      <w:widowControl/>
      <w:spacing w:after="120"/>
      <w:jc w:val="both"/>
    </w:pPr>
    <w:rPr>
      <w:szCs w:val="20"/>
    </w:rPr>
  </w:style>
  <w:style w:type="paragraph" w:customStyle="1" w:styleId="AbstractTtulo">
    <w:name w:val="Abstract Título"/>
    <w:basedOn w:val="Header"/>
    <w:qFormat/>
    <w:pPr>
      <w:ind w:left="0"/>
      <w:jc w:val="left"/>
    </w:pPr>
    <w:rPr>
      <w:sz w:val="20"/>
    </w:rPr>
  </w:style>
  <w:style w:type="paragraph" w:customStyle="1" w:styleId="Quadro">
    <w:name w:val="Quadro"/>
    <w:basedOn w:val="Caption"/>
    <w:qFormat/>
  </w:style>
  <w:style w:type="paragraph" w:customStyle="1" w:styleId="Ilustrao">
    <w:name w:val="Ilustração"/>
    <w:basedOn w:val="Caption"/>
    <w:qFormat/>
  </w:style>
  <w:style w:type="paragraph" w:customStyle="1" w:styleId="CabealhoTtulo">
    <w:name w:val="Cabeçalho Título"/>
    <w:basedOn w:val="Normal"/>
    <w:qFormat/>
    <w:pPr>
      <w:spacing w:after="0" w:line="240" w:lineRule="auto"/>
      <w:ind w:firstLine="1276"/>
      <w:jc w:val="center"/>
    </w:pPr>
    <w:rPr>
      <w:b/>
      <w:sz w:val="20"/>
      <w:szCs w:val="20"/>
    </w:rPr>
  </w:style>
  <w:style w:type="character" w:styleId="CommentReference">
    <w:name w:val="annotation reference"/>
    <w:basedOn w:val="DefaultParagraphFont"/>
    <w:rsid w:val="004829BC"/>
    <w:rPr>
      <w:sz w:val="16"/>
      <w:szCs w:val="16"/>
    </w:rPr>
  </w:style>
  <w:style w:type="paragraph" w:styleId="CommentText">
    <w:name w:val="annotation text"/>
    <w:basedOn w:val="Normal"/>
    <w:link w:val="CommentTextChar"/>
    <w:rsid w:val="004829BC"/>
    <w:pPr>
      <w:spacing w:line="240" w:lineRule="auto"/>
    </w:pPr>
    <w:rPr>
      <w:sz w:val="20"/>
      <w:szCs w:val="20"/>
    </w:rPr>
  </w:style>
  <w:style w:type="character" w:customStyle="1" w:styleId="CommentTextChar">
    <w:name w:val="Comment Text Char"/>
    <w:basedOn w:val="DefaultParagraphFont"/>
    <w:link w:val="CommentText"/>
    <w:rsid w:val="004829BC"/>
    <w:rPr>
      <w:rFonts w:eastAsia="Bitstream Vera Sans" w:cs="Bitstream Vera Sans"/>
      <w:kern w:val="2"/>
      <w:lang w:eastAsia="zh-CN" w:bidi="zh-CN"/>
    </w:rPr>
  </w:style>
  <w:style w:type="paragraph" w:styleId="CommentSubject">
    <w:name w:val="annotation subject"/>
    <w:basedOn w:val="CommentText"/>
    <w:next w:val="CommentText"/>
    <w:link w:val="CommentSubjectChar"/>
    <w:rsid w:val="004829BC"/>
    <w:rPr>
      <w:b/>
      <w:bCs/>
    </w:rPr>
  </w:style>
  <w:style w:type="character" w:customStyle="1" w:styleId="CommentSubjectChar">
    <w:name w:val="Comment Subject Char"/>
    <w:basedOn w:val="CommentTextChar"/>
    <w:link w:val="CommentSubject"/>
    <w:rsid w:val="004829BC"/>
    <w:rPr>
      <w:rFonts w:eastAsia="Bitstream Vera Sans" w:cs="Bitstream Vera Sans"/>
      <w:b/>
      <w:bCs/>
      <w:kern w:val="2"/>
      <w:lang w:eastAsia="zh-CN" w:bidi="zh-CN"/>
    </w:rPr>
  </w:style>
  <w:style w:type="character" w:styleId="Hyperlink">
    <w:name w:val="Hyperlink"/>
    <w:basedOn w:val="DefaultParagraphFont"/>
    <w:uiPriority w:val="99"/>
    <w:rsid w:val="000F33B8"/>
    <w:rPr>
      <w:color w:val="0000FF" w:themeColor="hyperlink"/>
      <w:u w:val="single"/>
    </w:rPr>
  </w:style>
  <w:style w:type="character" w:customStyle="1" w:styleId="UnresolvedMention1">
    <w:name w:val="Unresolved Mention1"/>
    <w:basedOn w:val="DefaultParagraphFont"/>
    <w:uiPriority w:val="99"/>
    <w:semiHidden/>
    <w:unhideWhenUsed/>
    <w:rsid w:val="000F33B8"/>
    <w:rPr>
      <w:color w:val="605E5C"/>
      <w:shd w:val="clear" w:color="auto" w:fill="E1DFDD"/>
    </w:rPr>
  </w:style>
  <w:style w:type="paragraph" w:styleId="ListParagraph">
    <w:name w:val="List Paragraph"/>
    <w:basedOn w:val="Normal"/>
    <w:uiPriority w:val="34"/>
    <w:qFormat/>
    <w:rsid w:val="000E4F23"/>
    <w:pPr>
      <w:widowControl/>
      <w:spacing w:after="120" w:line="240" w:lineRule="auto"/>
      <w:ind w:left="720"/>
      <w:contextualSpacing/>
    </w:pPr>
    <w:rPr>
      <w:rFonts w:ascii="Gill Sans" w:eastAsia="Gill Sans" w:hAnsi="Gill Sans" w:cs="Gill Sans"/>
      <w:sz w:val="22"/>
      <w:szCs w:val="22"/>
      <w:lang w:eastAsia="en-US"/>
    </w:rPr>
  </w:style>
  <w:style w:type="table" w:styleId="GridTable6Colorful-Accent1">
    <w:name w:val="Grid Table 6 Colorful Accent 1"/>
    <w:basedOn w:val="TableNormal"/>
    <w:uiPriority w:val="51"/>
    <w:rsid w:val="000E4F23"/>
    <w:pPr>
      <w:spacing w:after="0" w:line="240" w:lineRule="auto"/>
    </w:pPr>
    <w:rPr>
      <w:rFonts w:asciiTheme="minorHAnsi" w:eastAsiaTheme="minorHAnsi" w:hAnsiTheme="minorHAnsi" w:cstheme="minorBidi"/>
      <w:color w:val="365F91" w:themeColor="accent1" w:themeShade="BF"/>
      <w:kern w:val="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pPr>
      <w:keepNext/>
      <w:spacing w:before="240" w:after="120"/>
      <w:jc w:val="center"/>
    </w:pPr>
    <w:rPr>
      <w:rFonts w:ascii="Arial" w:eastAsia="Arial" w:hAnsi="Arial" w:cs="Arial"/>
      <w:i/>
      <w:iCs/>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customStyle="1" w:styleId="FootnoteTextChar">
    <w:name w:val="Footnote Text Char"/>
    <w:basedOn w:val="DefaultParagraphFont"/>
    <w:link w:val="FootnoteText"/>
    <w:uiPriority w:val="99"/>
    <w:rsid w:val="009F70C1"/>
    <w:rPr>
      <w:sz w:val="20"/>
      <w:szCs w:val="20"/>
    </w:rPr>
  </w:style>
  <w:style w:type="character" w:styleId="FootnoteReference">
    <w:name w:val="footnote reference"/>
    <w:basedOn w:val="DefaultParagraphFont"/>
    <w:uiPriority w:val="99"/>
    <w:semiHidden/>
    <w:unhideWhenUsed/>
    <w:rsid w:val="009F70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migosb2m.com/wp-content/uploads/2024/05/Em-1974-uma-multidao-entrou-pelo-Bairro-2-de-Maio-adentro-e-nunca-mais-saiu-_-Reportagem-_-PUBLICO.pdf" TargetMode="External"/><Relationship Id="rId4" Type="http://schemas.openxmlformats.org/officeDocument/2006/relationships/settings" Target="settings.xml"/><Relationship Id="rId9" Type="http://schemas.openxmlformats.org/officeDocument/2006/relationships/hyperlink" Target="https://ideas.repec.org/p/ise/isegwp/wp302006.html"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wJdImTTwN6GwAXkq1QQOqoe5lQ==">CgMxLjAyDmguejJ3b2k4Z2d0Nm9xOAByITFhalNjdWpNMDR0MFd3WTZ2Y3ZSeTRiX29DYURBbllKSQ==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4071</Words>
  <Characters>23209</Characters>
  <Application>Microsoft Office Word</Application>
  <DocSecurity>0</DocSecurity>
  <Lines>193</Lines>
  <Paragraphs>54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Rodrigo Emmanuel Santana Borges</dc:creator>
  <cp:lastModifiedBy>kenton keys</cp:lastModifiedBy>
  <cp:revision>4</cp:revision>
  <cp:lastPrinted>2026-08-08T17:59:00Z</cp:lastPrinted>
  <dcterms:created xsi:type="dcterms:W3CDTF">2026-05-12T16:09:00Z</dcterms:created>
  <dcterms:modified xsi:type="dcterms:W3CDTF">2026-08-08T17:59:00Z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1033-11.1.0.9080</vt:lpwstr>
  </property>
  <property fmtid="{D5CDD505-2E9C-101B-9397-08002B2CF9AE}" pid="3" name="LinksUpToDate">
    <vt:bool>false</vt:bool>
  </property>
  <property fmtid="{D5CDD505-2E9C-101B-9397-08002B2CF9AE}" pid="4" name="ScaleCrop">
    <vt:bool>false</vt:bool>
  </property>
</Properties>
</file>