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BATitle"/>
        <w:spacing w:lineRule="auto" w:line="240" w:before="0" w:after="0"/>
        <w:ind w:right="0" w:hanging="0"/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cs="Times New Roman" w:ascii="Times New Roman" w:hAnsi="Times New Roman"/>
          <w:sz w:val="24"/>
          <w:szCs w:val="24"/>
          <w:lang w:val="pt-BR"/>
        </w:rPr>
        <w:t xml:space="preserve">TRATAMENTO NUTRICIONAL NO DESENVOLVIMENTO INICIAL DE </w:t>
      </w:r>
    </w:p>
    <w:p>
      <w:pPr>
        <w:pStyle w:val="BATitle"/>
        <w:spacing w:lineRule="auto" w:line="240" w:before="0" w:after="0"/>
        <w:ind w:right="0" w:hang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PLÂNTULAS DE ROMÃZEIRA</w:t>
      </w:r>
    </w:p>
    <w:p>
      <w:pPr>
        <w:pStyle w:val="Normal"/>
        <w:jc w:val="center"/>
        <w:rPr>
          <w:b/>
          <w:b/>
          <w:lang w:val="en-US"/>
        </w:rPr>
      </w:pPr>
      <w:r>
        <w:rPr>
          <w:b/>
          <w:lang w:val="en-US"/>
        </w:rPr>
      </w:r>
    </w:p>
    <w:p>
      <w:pPr>
        <w:pStyle w:val="Normal"/>
        <w:spacing w:lineRule="auto" w:line="240" w:before="0" w:after="0"/>
        <w:jc w:val="center"/>
        <w:rPr>
          <w:b/>
          <w:b/>
          <w:lang w:val="en-US"/>
        </w:rPr>
      </w:pPr>
      <w:r>
        <w:rPr>
          <w:b/>
          <w:lang w:val="en-US"/>
        </w:rPr>
        <w:t>NUTRITIONAL TREATMENT IN THE INITIAL DEVELOPMENT OF</w:t>
      </w:r>
    </w:p>
    <w:p>
      <w:pPr>
        <w:pStyle w:val="Normal"/>
        <w:jc w:val="center"/>
        <w:rPr>
          <w:b/>
          <w:b/>
        </w:rPr>
      </w:pPr>
      <w:r>
        <w:rPr>
          <w:b/>
        </w:rPr>
        <w:t>PLANTILLES OF ROMÃZEIRA</w:t>
      </w:r>
    </w:p>
    <w:p>
      <w:pPr>
        <w:pStyle w:val="Normal"/>
        <w:jc w:val="center"/>
        <w:rPr/>
      </w:pPr>
      <w:bookmarkStart w:id="0" w:name="__DdeLink__1263_463537251"/>
      <w:r>
        <w:rPr>
          <w:b/>
        </w:rPr>
        <w:t>Brunella Neumeg Sperandio</w:t>
      </w:r>
      <w:bookmarkEnd w:id="0"/>
      <w:r>
        <w:rPr>
          <w:b/>
          <w:vertAlign w:val="superscript"/>
        </w:rPr>
        <w:t>1</w:t>
      </w:r>
      <w:r>
        <w:rPr>
          <w:b/>
        </w:rPr>
        <w:t>, Isabella Beltrame de Paulo</w:t>
      </w:r>
      <w:r>
        <w:rPr>
          <w:b/>
          <w:vertAlign w:val="superscript"/>
        </w:rPr>
        <w:t>2</w:t>
      </w:r>
      <w:r>
        <w:rPr>
          <w:b/>
        </w:rPr>
        <w:t>, Rafaela Melim Grazzioti</w:t>
      </w:r>
      <w:r>
        <w:rPr>
          <w:b/>
          <w:vertAlign w:val="superscript"/>
        </w:rPr>
        <w:t>3</w:t>
      </w:r>
      <w:r>
        <w:rPr>
          <w:b/>
        </w:rPr>
        <w:t>, Marcus Vinicius Sandoval Paixão</w:t>
      </w:r>
      <w:r>
        <w:rPr>
          <w:b/>
          <w:vertAlign w:val="superscript"/>
        </w:rPr>
        <w:t>4</w:t>
      </w:r>
      <w:r>
        <w:rPr>
          <w:b/>
        </w:rPr>
        <w:t xml:space="preserve"> ,Gabriela Reges da Silva</w:t>
      </w:r>
      <w:r>
        <w:rPr>
          <w:b/>
          <w:vertAlign w:val="superscript"/>
        </w:rPr>
        <w:t>5</w:t>
      </w:r>
      <w:r>
        <w:rPr>
          <w:b/>
        </w:rPr>
        <w:t>, Oriana Carla Tomazelli</w:t>
      </w:r>
      <w:r>
        <w:rPr>
          <w:b/>
          <w:vertAlign w:val="superscript"/>
        </w:rPr>
        <w:t>6</w:t>
      </w:r>
    </w:p>
    <w:p>
      <w:pPr>
        <w:pStyle w:val="BCAuthorAddress"/>
        <w:spacing w:lineRule="auto" w:line="240" w:before="0" w:after="0"/>
        <w:ind w:right="0" w:hanging="0"/>
        <w:jc w:val="center"/>
        <w:rPr/>
      </w:pPr>
      <w:r>
        <w:rPr>
          <w:rFonts w:ascii="Times New Roman" w:hAnsi="Times New Roman"/>
          <w:i w:val="false"/>
          <w:vertAlign w:val="superscript"/>
          <w:lang w:val="pt-BR"/>
        </w:rPr>
        <w:t>1</w:t>
      </w:r>
      <w:r>
        <w:rPr>
          <w:rFonts w:ascii="Times New Roman" w:hAnsi="Times New Roman"/>
          <w:i w:val="false"/>
          <w:lang w:val="pt-BR"/>
        </w:rPr>
        <w:t>Istituto Federal do Espírito Santo,</w:t>
      </w:r>
      <w:r>
        <w:rPr>
          <w:vertAlign w:val="superscript"/>
          <w:lang w:val="pt-BR"/>
        </w:rPr>
        <w:t xml:space="preserve"> </w:t>
      </w:r>
      <w:r>
        <w:rPr>
          <w:i w:val="false"/>
          <w:vertAlign w:val="superscript"/>
          <w:lang w:val="pt-BR"/>
        </w:rPr>
        <w:t>1</w:t>
      </w:r>
      <w:r>
        <w:rPr>
          <w:i w:val="false"/>
          <w:color w:val="00000A"/>
          <w:shd w:fill="FFFFFF" w:val="clear"/>
          <w:lang w:val="pt-BR"/>
        </w:rPr>
        <w:t>brunellaneumegsperandio@gmail.com</w:t>
      </w:r>
      <w:r>
        <w:rPr>
          <w:rFonts w:ascii="Times New Roman" w:hAnsi="Times New Roman"/>
          <w:i w:val="false"/>
          <w:lang w:val="pt-BR"/>
        </w:rPr>
        <w:t xml:space="preserve">, </w:t>
      </w:r>
      <w:r>
        <w:rPr>
          <w:rFonts w:cs="Times New Roman" w:ascii="Times New Roman" w:hAnsi="Times New Roman"/>
          <w:i w:val="false"/>
          <w:vertAlign w:val="superscript"/>
          <w:lang w:val="pt-BR"/>
        </w:rPr>
        <w:t>2</w:t>
      </w:r>
      <w:r>
        <w:rPr>
          <w:rFonts w:cs="Times New Roman" w:ascii="Times New Roman" w:hAnsi="Times New Roman"/>
          <w:i w:val="false"/>
          <w:color w:val="00000A"/>
          <w:u w:val="none"/>
          <w:shd w:fill="FFFFFF" w:val="clear"/>
          <w:lang w:val="pt-BR"/>
        </w:rPr>
        <w:t>isabeltramedepaulo@gmail.com,</w:t>
      </w:r>
      <w:r>
        <w:rPr>
          <w:rFonts w:cs="Times New Roman" w:ascii="Times New Roman" w:hAnsi="Times New Roman"/>
          <w:i w:val="false"/>
          <w:lang w:val="pt-BR"/>
        </w:rPr>
        <w:t xml:space="preserve">     </w:t>
      </w:r>
      <w:r>
        <w:rPr>
          <w:rFonts w:cs="Times New Roman" w:ascii="Times New Roman" w:hAnsi="Times New Roman"/>
          <w:i w:val="false"/>
          <w:vertAlign w:val="superscript"/>
          <w:lang w:val="pt-BR"/>
        </w:rPr>
        <w:t>3</w:t>
      </w:r>
      <w:r>
        <w:rPr>
          <w:rFonts w:cs="Times New Roman" w:ascii="Times New Roman" w:hAnsi="Times New Roman"/>
          <w:i w:val="false"/>
          <w:color w:val="00000A"/>
          <w:u w:val="none"/>
          <w:shd w:fill="FFFFFF" w:val="clear"/>
          <w:lang w:val="pt-BR"/>
        </w:rPr>
        <w:t>rm.grazzioti@hotmail.com,</w:t>
      </w:r>
      <w:r>
        <w:rPr>
          <w:rFonts w:ascii="Times New Roman" w:hAnsi="Times New Roman"/>
          <w:i w:val="false"/>
          <w:vertAlign w:val="superscript"/>
          <w:lang w:val="pt-BR"/>
        </w:rPr>
        <w:t xml:space="preserve"> </w:t>
      </w:r>
      <w:hyperlink r:id="rId2">
        <w:r>
          <w:rPr>
            <w:rStyle w:val="LinkdaInternet"/>
            <w:rFonts w:ascii="Times New Roman" w:hAnsi="Times New Roman"/>
            <w:i w:val="false"/>
            <w:color w:val="00000A"/>
            <w:u w:val="none"/>
            <w:vertAlign w:val="superscript"/>
            <w:lang w:val="pt-BR"/>
          </w:rPr>
          <w:t>4</w:t>
        </w:r>
        <w:r>
          <w:rPr>
            <w:rStyle w:val="LinkdaInternet"/>
            <w:rFonts w:cs="Times New Roman" w:ascii="Times New Roman" w:hAnsi="Times New Roman"/>
            <w:i w:val="false"/>
            <w:color w:val="00000A"/>
            <w:u w:val="none"/>
            <w:lang w:val="pt-BR"/>
          </w:rPr>
          <w:t>mvspaixao@gmail.com</w:t>
        </w:r>
      </w:hyperlink>
      <w:r>
        <w:rPr>
          <w:rFonts w:cs="Times New Roman" w:ascii="Times New Roman" w:hAnsi="Times New Roman"/>
          <w:i w:val="false"/>
          <w:color w:val="00000A"/>
          <w:u w:val="none"/>
          <w:shd w:fill="FFFFFF" w:val="clear"/>
          <w:lang w:val="pt-BR"/>
        </w:rPr>
        <w:t>,</w:t>
      </w:r>
      <w:r>
        <w:rPr>
          <w:rFonts w:ascii="Times New Roman" w:hAnsi="Times New Roman"/>
          <w:i w:val="false"/>
          <w:vertAlign w:val="superscript"/>
          <w:lang w:val="pt-BR"/>
        </w:rPr>
        <w:t xml:space="preserve"> </w:t>
      </w:r>
      <w:bookmarkStart w:id="1" w:name="_GoBack"/>
      <w:r>
        <w:rPr>
          <w:rFonts w:ascii="Times New Roman" w:hAnsi="Times New Roman"/>
          <w:i w:val="false"/>
          <w:vertAlign w:val="superscript"/>
          <w:lang w:val="pt-BR"/>
        </w:rPr>
        <w:t>5</w:t>
      </w:r>
      <w:r>
        <w:rPr>
          <w:rFonts w:cs="Times New Roman" w:ascii="Times New Roman" w:hAnsi="Times New Roman"/>
          <w:i w:val="false"/>
          <w:lang w:val="pt-BR"/>
        </w:rPr>
        <w:t>gabriela-reges@hotmail.com</w:t>
      </w:r>
      <w:bookmarkEnd w:id="1"/>
      <w:r>
        <w:rPr>
          <w:rFonts w:cs="Times New Roman" w:ascii="Times New Roman" w:hAnsi="Times New Roman"/>
          <w:i w:val="false"/>
          <w:lang w:val="pt-BR"/>
        </w:rPr>
        <w:t xml:space="preserve">, </w:t>
      </w:r>
      <w:r>
        <w:rPr>
          <w:rFonts w:ascii="Times New Roman" w:hAnsi="Times New Roman"/>
          <w:i w:val="false"/>
          <w:vertAlign w:val="superscript"/>
          <w:lang w:val="pt-BR"/>
        </w:rPr>
        <w:t>6</w:t>
      </w:r>
      <w:r>
        <w:rPr>
          <w:rFonts w:cs="Times New Roman" w:ascii="Times New Roman" w:hAnsi="Times New Roman"/>
          <w:i w:val="false"/>
          <w:lang w:val="pt-BR"/>
        </w:rPr>
        <w:t>oriana.carla@hotmail.com</w:t>
      </w:r>
    </w:p>
    <w:p>
      <w:pPr>
        <w:pStyle w:val="Endereos"/>
        <w:rPr>
          <w:rFonts w:ascii="Times New Roman" w:hAnsi="Times New Roman" w:cs="Times New Roman"/>
          <w:vertAlign w:val="superscript"/>
        </w:rPr>
      </w:pPr>
      <w:r>
        <w:rPr>
          <w:rFonts w:cs="Times New Roman" w:ascii="Times New Roman" w:hAnsi="Times New Roman"/>
          <w:vertAlign w:val="superscript"/>
        </w:rPr>
      </w:r>
    </w:p>
    <w:p>
      <w:pPr>
        <w:pStyle w:val="Endereos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Apresentado na           </w:t>
      </w:r>
    </w:p>
    <w:p>
      <w:pPr>
        <w:pStyle w:val="Endereos"/>
        <w:rPr/>
      </w:pPr>
      <w:r>
        <w:rPr>
          <w:rFonts w:cs="Times New Roman" w:ascii="Times New Roman" w:hAnsi="Times New Roman"/>
        </w:rPr>
        <w:t xml:space="preserve">29ª Semana </w:t>
      </w:r>
      <w:r>
        <w:rPr>
          <w:rFonts w:cs="Times New Roman" w:ascii="Times New Roman" w:hAnsi="Times New Roman"/>
        </w:rPr>
        <w:t>Agronômica</w:t>
      </w:r>
      <w:r>
        <w:rPr>
          <w:rFonts w:cs="Times New Roman" w:ascii="Times New Roman" w:hAnsi="Times New Roman"/>
        </w:rPr>
        <w:t xml:space="preserve"> do CCAE/UFES - SEAGRO 2018</w:t>
      </w:r>
    </w:p>
    <w:p>
      <w:pPr>
        <w:pStyle w:val="Endereos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17 à 21 de Setembro de 2018, Alegre - ES, Brasil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</w:rPr>
      </w:pPr>
      <w:r>
        <w:rPr>
          <w:sz w:val="20"/>
        </w:rPr>
      </w:r>
    </w:p>
    <w:p>
      <w:pPr>
        <w:pStyle w:val="TAMainText"/>
        <w:spacing w:lineRule="auto" w:line="240"/>
        <w:ind w:hanging="0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b/>
          <w:lang w:val="pt-BR"/>
        </w:rPr>
        <w:t>RESUMO -</w:t>
      </w:r>
      <w:r>
        <w:rPr>
          <w:lang w:val="pt-BR"/>
        </w:rPr>
        <w:t xml:space="preserve"> A romãzeira (</w:t>
      </w:r>
      <w:r>
        <w:rPr>
          <w:i/>
          <w:lang w:val="pt-BR"/>
        </w:rPr>
        <w:t>Punica Granatum</w:t>
      </w:r>
      <w:r>
        <w:rPr>
          <w:lang w:val="pt-BR"/>
        </w:rPr>
        <w:t xml:space="preserve"> L</w:t>
      </w:r>
      <w:r>
        <w:rPr>
          <w:i/>
          <w:lang w:val="pt-BR"/>
        </w:rPr>
        <w:t>.</w:t>
      </w:r>
      <w:r>
        <w:rPr>
          <w:lang w:val="pt-BR"/>
        </w:rPr>
        <w:t xml:space="preserve">), da família Punicaceae é uma fruteira exótica cultivada desde os tempos coloniais, com origem na Pérsia. Objetivou-se avaliar diferentes tratamentos nutricionais no desenvolvimento inicial de plântulas de romãzeira. O experimento foi conduzido no viveiro de produção de mudas do Instituto Federal do Espírito Santo, onde as sementes foram semeadas em tubetes, capacidade 280 mL, com substrato Terra+areia+composto orgânico (3:1:1).  Os tratamentos foram: imersão em água natural por 30 minutos, </w:t>
      </w:r>
      <w:r>
        <w:rPr>
          <w:rFonts w:cs="Times New Roman" w:ascii="Times New Roman" w:hAnsi="Times New Roman"/>
          <w:lang w:val="pt-BR"/>
        </w:rPr>
        <w:t>água de coco por 30 minutos, solução de cloreto de potássio 50 g.L</w:t>
      </w:r>
      <w:r>
        <w:rPr>
          <w:rFonts w:cs="Times New Roman" w:ascii="Times New Roman" w:hAnsi="Times New Roman"/>
          <w:vertAlign w:val="superscript"/>
          <w:lang w:val="pt-BR"/>
        </w:rPr>
        <w:t>-1</w:t>
      </w:r>
      <w:r>
        <w:rPr>
          <w:rFonts w:cs="Times New Roman" w:ascii="Times New Roman" w:hAnsi="Times New Roman"/>
          <w:lang w:val="pt-BR"/>
        </w:rPr>
        <w:t>, solução de cloreto de sódio 9 g.L</w:t>
      </w:r>
      <w:r>
        <w:rPr>
          <w:rFonts w:cs="Times New Roman" w:ascii="Times New Roman" w:hAnsi="Times New Roman"/>
          <w:vertAlign w:val="superscript"/>
          <w:lang w:val="pt-BR"/>
        </w:rPr>
        <w:t>-1</w:t>
      </w:r>
      <w:r>
        <w:rPr>
          <w:rFonts w:cs="Times New Roman" w:ascii="Times New Roman" w:hAnsi="Times New Roman"/>
          <w:lang w:val="pt-BR"/>
        </w:rPr>
        <w:t>. O experimento foi preparado em blocos casualizados, com quatro tratamentos e cinco repetições. Sessenta dias após emergência da primeira plântula, foram avaliadas as variáveis: número de folhas; diâmetro do coleto; comprimento da raiz; altura da parte aérea; massa verde da parte aérea; massa seca da parte aérea; massa verde da raiz; massa seca da raiz, sendo selecionadas para avaliação dez plantas por tratamento em cada bloco. O tratamento de sementes com substâncias nutricionais melhorou o desenvolvimento inicial de plântulas de romãzeira.</w:t>
      </w:r>
    </w:p>
    <w:p>
      <w:pPr>
        <w:pStyle w:val="Pa10"/>
        <w:spacing w:lineRule="auto" w:line="240" w:before="0" w:after="16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sectPr>
          <w:headerReference w:type="default" r:id="rId3"/>
          <w:footerReference w:type="default" r:id="rId4"/>
          <w:type w:val="nextPage"/>
          <w:pgSz w:w="11906" w:h="16838"/>
          <w:pgMar w:left="1417" w:right="1134" w:header="624" w:top="2268" w:footer="720" w:bottom="1417" w:gutter="0"/>
          <w:pgNumType w:fmt="decimal"/>
          <w:formProt w:val="false"/>
          <w:textDirection w:val="lrTb"/>
          <w:docGrid w:type="default" w:linePitch="360" w:charSpace="4294961151"/>
        </w:sectPr>
      </w:pPr>
    </w:p>
    <w:p>
      <w:pPr>
        <w:pStyle w:val="Normal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 xml:space="preserve">PALAVRAS-CHAVE: </w:t>
      </w:r>
      <w:r>
        <w:rPr>
          <w:sz w:val="20"/>
          <w:szCs w:val="20"/>
        </w:rPr>
        <w:t>Semente;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Potássio;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Água de coco.</w:t>
      </w:r>
      <w:r>
        <w:rPr>
          <w:b/>
          <w:sz w:val="20"/>
          <w:szCs w:val="20"/>
        </w:rPr>
        <w:t xml:space="preserve"> </w:t>
      </w:r>
    </w:p>
    <w:p>
      <w:pPr>
        <w:pStyle w:val="Normal"/>
        <w:jc w:val="both"/>
        <w:rPr>
          <w:sz w:val="20"/>
          <w:lang w:val="en-US"/>
        </w:rPr>
      </w:pPr>
      <w:r>
        <w:rPr>
          <w:b/>
          <w:bCs/>
          <w:sz w:val="20"/>
          <w:lang w:val="en-US"/>
        </w:rPr>
        <w:t>KEYWORDS</w:t>
      </w:r>
      <w:r>
        <w:rPr>
          <w:sz w:val="20"/>
          <w:lang w:val="en-US"/>
        </w:rPr>
        <w:t>: Seed; Potassium; Coconut water.</w:t>
      </w:r>
    </w:p>
    <w:p>
      <w:pPr>
        <w:pStyle w:val="Normal"/>
        <w:jc w:val="both"/>
        <w:rPr>
          <w:b/>
          <w:b/>
          <w:sz w:val="20"/>
        </w:rPr>
      </w:pPr>
      <w:r>
        <w:rPr>
          <w:b/>
          <w:sz w:val="20"/>
        </w:rPr>
        <w:t xml:space="preserve">SEÇÃO: </w:t>
      </w:r>
      <w:r>
        <w:rPr>
          <w:sz w:val="20"/>
        </w:rPr>
        <w:t>Fitotecnia</w:t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INTRODUÇÃO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A romãzeira (</w:t>
      </w:r>
      <w:r>
        <w:rPr>
          <w:i/>
          <w:sz w:val="20"/>
          <w:szCs w:val="20"/>
        </w:rPr>
        <w:t>Punica Granatum</w:t>
      </w:r>
      <w:r>
        <w:rPr>
          <w:sz w:val="20"/>
          <w:szCs w:val="20"/>
        </w:rPr>
        <w:t xml:space="preserve"> L</w:t>
      </w:r>
      <w:r>
        <w:rPr>
          <w:i/>
          <w:sz w:val="20"/>
          <w:szCs w:val="20"/>
        </w:rPr>
        <w:t>.</w:t>
      </w:r>
      <w:r>
        <w:rPr>
          <w:sz w:val="20"/>
          <w:szCs w:val="20"/>
        </w:rPr>
        <w:t xml:space="preserve">), da família Punicaceae, é uma frutífera cultivada com facilidade, onde tem sido utilizada como planta ornamental, em parques e jardins, apresentando também propriedades medicinais (LOPES et al., 2001). 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É uma fruteira exótica e cultivada no país desde os tempos coloniais, principalmente, em pomares domésticos, sendo originária da Pérsia (hoje Irã), onde foi domesticada há cerca de 2 mil anos a.C (FERRAZ et al., 2016).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Seus frutos são originados de um ovário ínfero e apresentam um pericarpo carnoso, onde suas sementes possuem um sarcotesta translúcida, onde por ser um material gelatinoso que envolve a semente, pode vir a comprometer a germinação, tornando esse processo lento e desuniforme (LOPES et al., 2001).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Além das propriedade medicinais, os frutos da romã também podem ser consumidos, sendo que seu cultivo é promissor, principalmente em regiões áridas, pois são bastantes resistentes à seca. Logo, um dos grandes obstáculos do seu cultivo é a germinação de suas sementes e consequente desenvolvimento inicial das plântulas (TAKATA et al., 2014).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estresse salino, além de prejudicar as plantas pela diminuição da disponibilidade hídrica, causa toxidez iônica pelo acúmulo de íons nas células (como Na e Cl), desequilíbrio nutricional ou inativação fisiológica de íons essenciais (TAIZ &amp; ZEIGER, 2009), reduz o potencial osmótico e proporciona a ação dos íons sobre o protoplasma, pois a água é osmoticamente retida na solução salina, de forma que o aumento da concentração de sais a torna cada vez menos disponível para as plantas (RIBEIRO et al., 2001). Com o aumento da salinidade, ocorre a diminuição do potencial osmótico do solo, dificultando a absorção de água pelas raízes (AMORIM et al., 2002; LOPES &amp; MACEDO, 2008), bem como interfere na emergência e no desempenho inicial (BARROSO et al</w:t>
      </w:r>
      <w:r>
        <w:rPr>
          <w:i/>
          <w:sz w:val="20"/>
          <w:szCs w:val="20"/>
        </w:rPr>
        <w:t>.,</w:t>
      </w:r>
      <w:r>
        <w:rPr>
          <w:sz w:val="20"/>
          <w:szCs w:val="20"/>
        </w:rPr>
        <w:t xml:space="preserve"> 2010).</w:t>
      </w:r>
    </w:p>
    <w:p>
      <w:pPr>
        <w:pStyle w:val="Normal"/>
        <w:spacing w:lineRule="auto" w:line="240" w:before="0" w:after="0"/>
        <w:ind w:firstLine="708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>A capacidade de adaptação dos vegetais superiores aos solos salinos depende de alguns fatores, destacando-se a constituição fisiológica e o seu estádio de desenvolvimento. Algumas espécies cultivadas, tais como sorgo, milho, feijão e trigo, são menos afetadas durante a fase inicial de seu ciclo. Porém, em arroz, a sensibilidade à salinização aumenta durante a floração e frutificação (MONTERLE et al., 2006).</w:t>
      </w:r>
    </w:p>
    <w:p>
      <w:pPr>
        <w:pStyle w:val="Normal"/>
        <w:spacing w:lineRule="auto" w:line="240" w:before="0" w:after="0"/>
        <w:ind w:firstLine="708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>Este panorama constitui um sério problema que limita a produção agrícola e reduz a produtividade de diversas culturas (PEDROTTI et al., 2015). Prisco &amp; Gomes-Filho, (2010) citam que inicialmente a salinidade proporciona um desbalanço hídrico e nutricional que desencadeiam alterações metabólicas, hormonais, e na permeabilidade das membranas, que irão refletir nas trocas gasosas, na expansão e divisão celular, e no crescimento vegetativo, sendo que, de modo geral, Dias &amp; Blanco (2010) citam que salinidade afeta todos os estágios do desenvolvimento das plantas pela ação dos componentes osmóticos e iônicos que ocasionam restrição na absorção da água, toxicidade pela presença de íons específicos e pela interferência dos sais nos processos fisiológicos e bioquímicos que resultam em retardos no crescimento dos vegetais.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Varios trabalhos relatam o desenvolvimento de plântulas, principalmente do crescimento radicular devido ao estresse salino, em espécies cultivadas, como o pinhão-manso (SILVA et al</w:t>
      </w:r>
      <w:r>
        <w:rPr>
          <w:i/>
          <w:sz w:val="20"/>
          <w:szCs w:val="20"/>
        </w:rPr>
        <w:t>.,</w:t>
      </w:r>
      <w:r>
        <w:rPr>
          <w:sz w:val="20"/>
          <w:szCs w:val="20"/>
        </w:rPr>
        <w:t xml:space="preserve"> 2009), o feijão-caupi (MAIA et al., 2012) e cebola (CORRÊA et al</w:t>
      </w:r>
      <w:r>
        <w:rPr>
          <w:i/>
          <w:sz w:val="20"/>
          <w:szCs w:val="20"/>
        </w:rPr>
        <w:t>.,</w:t>
      </w:r>
      <w:r>
        <w:rPr>
          <w:sz w:val="20"/>
          <w:szCs w:val="20"/>
        </w:rPr>
        <w:t xml:space="preserve"> 2013).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O objetivo da pesquisa foi testar diferentes tratamentos nutricionais no desenvolvimento inicial de plântulas de romãzeira.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MATERIAL E MÉTODOS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Pa10"/>
        <w:spacing w:lineRule="auto" w:line="240" w:before="0" w:after="160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 experimento foi conduzido no viveiro de produção de mudas, coberto com tela de poliolefina com 50% de sombreamento, situado no setor de fruticultura do Instituto Federal do Espírito Santo (Ifes-Campus Santa Teresa), no período de janeiro de 2017 a dezembro de 2017, localizado na meso região Central Espírito-Santense, município de Santa Teresa-ES, coordenadas geográficas (19</w:t>
      </w:r>
      <w:r>
        <w:rPr>
          <w:rFonts w:ascii="Times New Roman" w:hAnsi="Times New Roman"/>
          <w:sz w:val="20"/>
          <w:szCs w:val="20"/>
          <w:vertAlign w:val="superscript"/>
        </w:rPr>
        <w:t>o</w:t>
      </w:r>
      <w:r>
        <w:rPr>
          <w:rFonts w:ascii="Times New Roman" w:hAnsi="Times New Roman"/>
          <w:sz w:val="20"/>
          <w:szCs w:val="20"/>
        </w:rPr>
        <w:t>48’21”S, e 40º40’44”W), altitude de 155 metros. O clima da região caracteriza-se como Cwa, mesotérmico, com estação seca no inverno e forte pluviosidade no verão (classifi</w:t>
        <w:softHyphen/>
        <w:t>cação de Köppen), com precipitação anual média de 1.404,2 mm e temperatura média anual local de 24°C, com máxima de 32,8 °C e mínima de 10,6 °C (INCAPER, 2011).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Foram utilizadas sementes de </w:t>
      </w:r>
      <w:r>
        <w:rPr>
          <w:rFonts w:ascii="Times New Roman" w:hAnsi="Times New Roman"/>
          <w:sz w:val="20"/>
          <w:szCs w:val="20"/>
        </w:rPr>
        <w:t>romãzeira (</w:t>
      </w:r>
      <w:r>
        <w:rPr>
          <w:rFonts w:ascii="Times New Roman" w:hAnsi="Times New Roman"/>
          <w:i/>
          <w:sz w:val="20"/>
          <w:szCs w:val="20"/>
        </w:rPr>
        <w:t>Punica Granatum</w:t>
      </w:r>
      <w:r>
        <w:rPr>
          <w:rFonts w:ascii="Times New Roman" w:hAnsi="Times New Roman"/>
          <w:sz w:val="20"/>
          <w:szCs w:val="20"/>
        </w:rPr>
        <w:t xml:space="preserve"> L.)</w:t>
      </w:r>
      <w:r>
        <w:rPr>
          <w:rFonts w:cs="Times New Roman" w:ascii="Times New Roman" w:hAnsi="Times New Roman"/>
          <w:sz w:val="20"/>
          <w:szCs w:val="20"/>
        </w:rPr>
        <w:t xml:space="preserve"> colhidas na região do instituto, semeadas em tubetes, capacidade 280 mL, com substrato Terra+areia+composto orgânico (3:1:1), onde testou-se diferentes tratamentos nutricionais para estímulo  á germinação e emergência das plântulas, sendo elas: imersão em água  natural por 30 minutos (testemunha), imersão em água de coco por 30 minutos, imersão em solução de cloreto de potássio 50 g.L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-1</w:t>
      </w:r>
      <w:r>
        <w:rPr>
          <w:rFonts w:cs="Times New Roman" w:ascii="Times New Roman" w:hAnsi="Times New Roman"/>
          <w:sz w:val="20"/>
          <w:szCs w:val="20"/>
        </w:rPr>
        <w:t>,  imersão em solução de cloreto de sódio 9 g.L</w:t>
      </w:r>
      <w:r>
        <w:rPr>
          <w:rFonts w:cs="Times New Roman" w:ascii="Times New Roman" w:hAnsi="Times New Roman"/>
          <w:sz w:val="20"/>
          <w:szCs w:val="20"/>
          <w:vertAlign w:val="superscript"/>
        </w:rPr>
        <w:t>-1</w:t>
      </w: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Normal"/>
        <w:spacing w:lineRule="auto" w:line="240" w:before="0" w:after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O experimento foi preparado em blocos casualizados (DBC), com quatro tratamentos e cinco repetições, sendo que cada unidade experimental foi composta por cinquenta sementes.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Após emergência da primeira plântula e durante trinta dias, foi avaliada a porcentagem de emergência (E); </w:t>
      </w:r>
      <w:r>
        <w:rPr>
          <w:rStyle w:val="A4"/>
          <w:rFonts w:eastAsia="Courier New" w:ascii="Times New Roman" w:hAnsi="Times New Roman"/>
        </w:rPr>
        <w:t>índice de velocidade de emergência (IVE) (MAGUIRE, 1962); tempo médio de emergência (TME) (</w:t>
      </w:r>
      <w:r>
        <w:rPr>
          <w:rFonts w:cs="Times New Roman" w:ascii="Times New Roman" w:hAnsi="Times New Roman"/>
          <w:sz w:val="20"/>
          <w:szCs w:val="20"/>
        </w:rPr>
        <w:t xml:space="preserve">LABORIAU &amp; VALADARES, 1976). </w:t>
      </w:r>
    </w:p>
    <w:p>
      <w:pPr>
        <w:pStyle w:val="SemEspaamento1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Calibri" w:cs="Times New Roman" w:ascii="Times New Roman" w:hAnsi="Times New Roman"/>
          <w:sz w:val="20"/>
          <w:szCs w:val="20"/>
        </w:rPr>
        <w:t>Os dados experimentais foram submetidos aos testes de Shapiro-Wilks (p&lt;0,05), para verificação da normalidade e</w:t>
      </w:r>
      <w:r>
        <w:rPr>
          <w:rFonts w:cs="Times New Roman" w:ascii="Times New Roman" w:hAnsi="Times New Roman"/>
          <w:sz w:val="20"/>
          <w:szCs w:val="20"/>
        </w:rPr>
        <w:t xml:space="preserve"> à análise de variância, sendo as médias de cada característica</w:t>
      </w:r>
      <w:r>
        <w:rPr>
          <w:rFonts w:cs="Times New Roman" w:ascii="Times New Roman" w:hAnsi="Times New Roman"/>
          <w:sz w:val="20"/>
          <w:szCs w:val="20"/>
        </w:rPr>
        <w:t>s</w:t>
      </w:r>
      <w:r>
        <w:rPr>
          <w:rFonts w:cs="Times New Roman" w:ascii="Times New Roman" w:hAnsi="Times New Roman"/>
          <w:sz w:val="20"/>
          <w:szCs w:val="20"/>
        </w:rPr>
        <w:t xml:space="preserve"> comparadas pelo teste de Tukey em nível de 5% de probabilidade com auxilio do programa R.</w:t>
      </w:r>
    </w:p>
    <w:p>
      <w:pPr>
        <w:pStyle w:val="Normal"/>
        <w:spacing w:lineRule="auto" w:line="240" w:before="0" w:after="0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RESULTADOS E DISCUSSÃO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sz w:val="20"/>
          <w:szCs w:val="20"/>
        </w:rPr>
        <w:tab/>
        <w:t xml:space="preserve">De acordo com a tabela 1, podemos observar que os tratamentos com substancias nutricionais melhoraram o desenvolvimento inicial das plântulas de romãzeira, demonstrando uma </w:t>
      </w:r>
      <w:r>
        <w:rPr>
          <w:sz w:val="20"/>
          <w:szCs w:val="20"/>
        </w:rPr>
        <w:t>resistência</w:t>
      </w:r>
      <w:r>
        <w:rPr>
          <w:sz w:val="20"/>
          <w:szCs w:val="20"/>
        </w:rPr>
        <w:t xml:space="preserve"> à salinização por estas plântulas. O tratamento com sais de potássio, sais de sódio e com água de coco, apresentaram valores superiores no desenvolvimento das plântulas em relação à testemunha.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Os tratamentos nutricionais poderiam fazer com que o comprimento da raiz fosse a característica mais afetada, refletindo diretamente na altura da planta e diâmetro do coleto, fato que não pode ser considerado para plântulas de romãzeira, pelos valores apurados na avaliação das plântulas, observa-se valores superiores à testemunha, com diferença estatística para estas características.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>Apenas no número de folhas que o tratamento com KCl 50 mg.L</w:t>
      </w:r>
      <w:r>
        <w:rPr>
          <w:sz w:val="20"/>
          <w:szCs w:val="20"/>
          <w:vertAlign w:val="superscript"/>
        </w:rPr>
        <w:t xml:space="preserve">-1 </w:t>
      </w:r>
      <w:r>
        <w:rPr>
          <w:sz w:val="20"/>
          <w:szCs w:val="20"/>
        </w:rPr>
        <w:t>apresentou valores inferiores ao da testemunha, porém em todas as outras variáveis analisada foi observado desempenho superior.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Quando avaliamos o diâmetro do coleto, não foi observada diferença estatística, porém todos os tratamentos apresentaram valores superiores à testemunha, com destaque para o tratamento com sais de sódio.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Na avaliação da massa verde e seca das folhas e da raiz, podemos observar diferença estatística para o tratamento com sais de sódio em relação a todos os outros tratamentos. Considerando que o comprimento da raiz não teve diferença estatística, podemos afirmar que neste tratamento, a salinidade estimulou a produção de radicelas, fazendo com que a plântula amentasse à produção de massa verde e seca da parte aérea e da raiz.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Conus et al. (2009), estudando a cultura do milho, observou que esta cultura é moderadamente tolerante à salinidade, porém o aumento da concentração de sais na solução pode causar decréscimos no crescimento de plântulas, na área foliar e na massa seca de plântulas, no caso da romãzeira, a concentração de sais não afeou a plântula melhorando o seu desenvolvimento.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Silva et al. (2013) trabalhando com mamoneira em função da salinidade constataram um incremento de 4,5% na alocação de fitomassa da folha das plantas e observaram declínios percentuais de 7,0% na alocação da fitomassa radicular.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 Conforme Aragão et al. (2009) cita que decréscimos na alocação de fitomassa são ocasionados pela diminuição da fotossíntese, bem como do redirecionamento da energia que seria utilizada para o crescimento, para outras atividades metabólicas relacionadas com a adaptação a salinidade fato que não foi observado na plântula de romãzeira. Munns (2002) cita como exemplo, a manutenção da estabilidade das membranas, produção de solutos orgânicos e controle no transporte e distribuição dos íons.</w:t>
      </w:r>
    </w:p>
    <w:p>
      <w:pPr>
        <w:pStyle w:val="Normal"/>
        <w:spacing w:lineRule="auto" w:line="240" w:before="0" w:after="0"/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De acordo com a pesquisa em foco, podemos observar que o estresse salino pode ter promovido a liberação dos fotoassimilados para as regiões de desenvolvimento da plântula, fazendo com que o desenvolvimento inicial fosse estimulado.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>Tabela 1 – Dados referentes ao desenvolvimento de plântulas de romãzeira</w:t>
      </w:r>
    </w:p>
    <w:tbl>
      <w:tblPr>
        <w:tblW w:w="8560" w:type="dxa"/>
        <w:jc w:val="center"/>
        <w:tblInd w:w="0" w:type="dxa"/>
        <w:tblBorders>
          <w:top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  <w:tblLook w:firstRow="0" w:noVBand="0" w:lastRow="0" w:firstColumn="0" w:lastColumn="0" w:noHBand="0" w:val="0000"/>
      </w:tblPr>
      <w:tblGrid>
        <w:gridCol w:w="1531"/>
        <w:gridCol w:w="850"/>
        <w:gridCol w:w="964"/>
        <w:gridCol w:w="737"/>
        <w:gridCol w:w="850"/>
        <w:gridCol w:w="907"/>
        <w:gridCol w:w="907"/>
        <w:gridCol w:w="908"/>
        <w:gridCol w:w="905"/>
      </w:tblGrid>
      <w:tr>
        <w:trPr>
          <w:trHeight w:val="231" w:hRule="atLeast"/>
        </w:trPr>
        <w:tc>
          <w:tcPr>
            <w:tcW w:w="1531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T</w:t>
            </w:r>
          </w:p>
        </w:tc>
        <w:tc>
          <w:tcPr>
            <w:tcW w:w="850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AP</w:t>
            </w:r>
          </w:p>
        </w:tc>
        <w:tc>
          <w:tcPr>
            <w:tcW w:w="964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NF</w:t>
            </w:r>
          </w:p>
        </w:tc>
        <w:tc>
          <w:tcPr>
            <w:tcW w:w="73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DC</w:t>
            </w:r>
          </w:p>
        </w:tc>
        <w:tc>
          <w:tcPr>
            <w:tcW w:w="850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CR</w:t>
            </w:r>
          </w:p>
        </w:tc>
        <w:tc>
          <w:tcPr>
            <w:tcW w:w="90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MVF</w:t>
            </w:r>
          </w:p>
        </w:tc>
        <w:tc>
          <w:tcPr>
            <w:tcW w:w="907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MVR</w:t>
            </w:r>
          </w:p>
        </w:tc>
        <w:tc>
          <w:tcPr>
            <w:tcW w:w="908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MSF</w:t>
            </w:r>
          </w:p>
        </w:tc>
        <w:tc>
          <w:tcPr>
            <w:tcW w:w="905" w:type="dxa"/>
            <w:tcBorders>
              <w:top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auto" w:val="clear"/>
          </w:tcPr>
          <w:p>
            <w:pPr>
              <w:pStyle w:val="Contedodatabel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MSR</w:t>
            </w:r>
          </w:p>
        </w:tc>
      </w:tr>
      <w:tr>
        <w:trPr>
          <w:trHeight w:val="231" w:hRule="atLeast"/>
        </w:trPr>
        <w:tc>
          <w:tcPr>
            <w:tcW w:w="1531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Testemunha</w:t>
            </w:r>
          </w:p>
        </w:tc>
        <w:tc>
          <w:tcPr>
            <w:tcW w:w="850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8,30 c</w:t>
            </w:r>
          </w:p>
        </w:tc>
        <w:tc>
          <w:tcPr>
            <w:tcW w:w="964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42,85 bc</w:t>
            </w:r>
          </w:p>
        </w:tc>
        <w:tc>
          <w:tcPr>
            <w:tcW w:w="737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1,10 a</w:t>
            </w:r>
          </w:p>
        </w:tc>
        <w:tc>
          <w:tcPr>
            <w:tcW w:w="850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15,28 a</w:t>
            </w:r>
          </w:p>
        </w:tc>
        <w:tc>
          <w:tcPr>
            <w:tcW w:w="907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0,238 b</w:t>
            </w:r>
          </w:p>
        </w:tc>
        <w:tc>
          <w:tcPr>
            <w:tcW w:w="907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0,141 b</w:t>
            </w:r>
          </w:p>
        </w:tc>
        <w:tc>
          <w:tcPr>
            <w:tcW w:w="908" w:type="dxa"/>
            <w:tcBorders>
              <w:top w:val="single" w:sz="2" w:space="0" w:color="000001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0,070 c</w:t>
            </w:r>
          </w:p>
        </w:tc>
        <w:tc>
          <w:tcPr>
            <w:tcW w:w="905" w:type="dxa"/>
            <w:tcBorders>
              <w:top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0,039 b</w:t>
            </w:r>
          </w:p>
        </w:tc>
      </w:tr>
      <w:tr>
        <w:trPr>
          <w:trHeight w:val="257" w:hRule="atLeast"/>
        </w:trPr>
        <w:tc>
          <w:tcPr>
            <w:tcW w:w="153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Água de coco</w:t>
            </w:r>
          </w:p>
        </w:tc>
        <w:tc>
          <w:tcPr>
            <w:tcW w:w="850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8,99 b</w:t>
            </w:r>
          </w:p>
        </w:tc>
        <w:tc>
          <w:tcPr>
            <w:tcW w:w="96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45,75 b</w:t>
            </w:r>
          </w:p>
        </w:tc>
        <w:tc>
          <w:tcPr>
            <w:tcW w:w="73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1,12 a</w:t>
            </w:r>
          </w:p>
        </w:tc>
        <w:tc>
          <w:tcPr>
            <w:tcW w:w="850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15,58 a</w:t>
            </w:r>
          </w:p>
        </w:tc>
        <w:tc>
          <w:tcPr>
            <w:tcW w:w="90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0,267 b</w:t>
            </w:r>
          </w:p>
        </w:tc>
        <w:tc>
          <w:tcPr>
            <w:tcW w:w="90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0,142 b</w:t>
            </w:r>
          </w:p>
        </w:tc>
        <w:tc>
          <w:tcPr>
            <w:tcW w:w="908" w:type="dxa"/>
            <w:tcBorders/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0,078 bc</w:t>
            </w:r>
          </w:p>
        </w:tc>
        <w:tc>
          <w:tcPr>
            <w:tcW w:w="90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0,033 b</w:t>
            </w:r>
          </w:p>
        </w:tc>
      </w:tr>
      <w:tr>
        <w:trPr>
          <w:trHeight w:val="245" w:hRule="atLeast"/>
        </w:trPr>
        <w:tc>
          <w:tcPr>
            <w:tcW w:w="1531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KCl 50 mg.L</w:t>
            </w:r>
            <w:r>
              <w:rPr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850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8,41 c</w:t>
            </w:r>
          </w:p>
        </w:tc>
        <w:tc>
          <w:tcPr>
            <w:tcW w:w="964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39,90 c</w:t>
            </w:r>
          </w:p>
        </w:tc>
        <w:tc>
          <w:tcPr>
            <w:tcW w:w="73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1,15 a</w:t>
            </w:r>
          </w:p>
        </w:tc>
        <w:tc>
          <w:tcPr>
            <w:tcW w:w="850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15,59 a</w:t>
            </w:r>
          </w:p>
        </w:tc>
        <w:tc>
          <w:tcPr>
            <w:tcW w:w="90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0,280 b</w:t>
            </w:r>
          </w:p>
        </w:tc>
        <w:tc>
          <w:tcPr>
            <w:tcW w:w="907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0,160 a</w:t>
            </w:r>
          </w:p>
        </w:tc>
        <w:tc>
          <w:tcPr>
            <w:tcW w:w="908" w:type="dxa"/>
            <w:tcBorders/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0,082 b</w:t>
            </w:r>
          </w:p>
        </w:tc>
        <w:tc>
          <w:tcPr>
            <w:tcW w:w="905" w:type="dxa"/>
            <w:tcBorders/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0,037 b</w:t>
            </w:r>
          </w:p>
        </w:tc>
      </w:tr>
      <w:tr>
        <w:trPr>
          <w:trHeight w:val="245" w:hRule="atLeast"/>
        </w:trPr>
        <w:tc>
          <w:tcPr>
            <w:tcW w:w="1531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NaCl 9 mg.L</w:t>
            </w:r>
            <w:r>
              <w:rPr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850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10,54 a</w:t>
            </w:r>
          </w:p>
        </w:tc>
        <w:tc>
          <w:tcPr>
            <w:tcW w:w="964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57,45 a</w:t>
            </w:r>
          </w:p>
        </w:tc>
        <w:tc>
          <w:tcPr>
            <w:tcW w:w="737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1,17 a</w:t>
            </w:r>
          </w:p>
        </w:tc>
        <w:tc>
          <w:tcPr>
            <w:tcW w:w="850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16,44 a</w:t>
            </w:r>
          </w:p>
        </w:tc>
        <w:tc>
          <w:tcPr>
            <w:tcW w:w="907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0,419 a</w:t>
            </w:r>
          </w:p>
        </w:tc>
        <w:tc>
          <w:tcPr>
            <w:tcW w:w="907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0,156 a</w:t>
            </w:r>
          </w:p>
        </w:tc>
        <w:tc>
          <w:tcPr>
            <w:tcW w:w="908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0,099 a</w:t>
            </w:r>
          </w:p>
        </w:tc>
        <w:tc>
          <w:tcPr>
            <w:tcW w:w="905" w:type="dxa"/>
            <w:tcBorders>
              <w:bottom w:val="single" w:sz="4" w:space="0" w:color="00000A"/>
              <w:insideH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0,060 a</w:t>
            </w:r>
          </w:p>
        </w:tc>
      </w:tr>
    </w:tbl>
    <w:p>
      <w:pPr>
        <w:pStyle w:val="Normal"/>
        <w:spacing w:lineRule="auto" w:line="240" w:before="0" w:after="0"/>
        <w:ind w:left="284" w:hanging="0"/>
        <w:jc w:val="both"/>
        <w:rPr>
          <w:sz w:val="20"/>
          <w:szCs w:val="20"/>
        </w:rPr>
      </w:pPr>
      <w:r>
        <w:rPr>
          <w:sz w:val="20"/>
          <w:szCs w:val="20"/>
        </w:rPr>
        <w:t>Médias, seguidas das mesmas letras nas colunas são estatisticamente iguais pelo teste de Tukey em 5% de probabilidade.</w:t>
      </w:r>
    </w:p>
    <w:p>
      <w:pPr>
        <w:pStyle w:val="Normal"/>
        <w:spacing w:lineRule="auto" w:line="240" w:before="0" w:after="0"/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CONCLUSÃO</w:t>
      </w:r>
    </w:p>
    <w:p>
      <w:pPr>
        <w:pStyle w:val="Normal"/>
        <w:spacing w:lineRule="auto" w:line="240" w:before="0" w:after="0"/>
        <w:jc w:val="both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TAMainText"/>
        <w:spacing w:lineRule="auto" w:line="240"/>
        <w:ind w:firstLine="708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>O tratamento de sementes com substâncias nutricionais melhorou o desenvolvimento inicial de plântulas de romãzeira, mostrando que a mesma é resistente à salinização.</w:t>
      </w:r>
    </w:p>
    <w:p>
      <w:pPr>
        <w:pStyle w:val="TAMainText"/>
        <w:spacing w:lineRule="auto" w:line="240"/>
        <w:ind w:firstLine="708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  <w:t xml:space="preserve">O tratamento com </w:t>
      </w:r>
      <w:r>
        <w:rPr>
          <w:rFonts w:ascii="Times New Roman" w:hAnsi="Times New Roman"/>
          <w:lang w:val="pt-BR"/>
        </w:rPr>
        <w:t>solução de cloreto de sódio 9 g.L</w:t>
      </w:r>
      <w:r>
        <w:rPr>
          <w:rFonts w:ascii="Times New Roman" w:hAnsi="Times New Roman"/>
          <w:vertAlign w:val="superscript"/>
          <w:lang w:val="pt-BR"/>
        </w:rPr>
        <w:t>-1</w:t>
      </w:r>
      <w:r>
        <w:rPr>
          <w:rFonts w:ascii="Times New Roman" w:hAnsi="Times New Roman"/>
          <w:lang w:val="pt-BR"/>
        </w:rPr>
        <w:t xml:space="preserve"> pode ser recomendado no tratamento pré-germinativo de sementes de romã, com vistas a um melhor desenvolvimento inicial das plântulas. </w:t>
      </w:r>
    </w:p>
    <w:p>
      <w:pPr>
        <w:pStyle w:val="TAMainText"/>
        <w:spacing w:lineRule="auto" w:line="240"/>
        <w:ind w:hanging="0"/>
        <w:rPr>
          <w:rFonts w:ascii="Times New Roman" w:hAnsi="Times New Roman" w:cs="Times New Roman"/>
          <w:lang w:val="pt-BR"/>
        </w:rPr>
      </w:pPr>
      <w:r>
        <w:rPr>
          <w:rFonts w:cs="Times New Roman" w:ascii="Times New Roman" w:hAnsi="Times New Roman"/>
          <w:lang w:val="pt-BR"/>
        </w:rPr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  <w:t>REFERÊNCIAS</w:t>
      </w:r>
    </w:p>
    <w:p>
      <w:pPr>
        <w:pStyle w:val="Normal"/>
        <w:spacing w:lineRule="auto" w:line="240" w:before="0" w:after="0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AMORIM, J.R.A.; FERNANDES, P.D.; GHEYI, H.R. &amp; AZEVEDO, N.C. Efeito da salinidade e modo de aplicação da água de irrigação no crescimento e produção de alho. </w:t>
      </w:r>
      <w:r>
        <w:rPr>
          <w:b/>
          <w:sz w:val="20"/>
          <w:szCs w:val="20"/>
        </w:rPr>
        <w:t>Pesquisa Agropecuária Brasileira</w:t>
      </w:r>
      <w:r>
        <w:rPr>
          <w:sz w:val="20"/>
          <w:szCs w:val="20"/>
        </w:rPr>
        <w:t>, Brasília, v.37, n.2, p.167-176. 2002.</w:t>
      </w:r>
    </w:p>
    <w:p>
      <w:pPr>
        <w:pStyle w:val="Default"/>
        <w:tabs>
          <w:tab w:val="left" w:pos="709" w:leader="none"/>
        </w:tabs>
        <w:spacing w:lineRule="atLeast" w:line="281" w:before="240" w:after="16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ARAGÃO, C. A.; SANTOS, J. S.; QUEIROZ, S. O. P.; FRANÇA, B. Avaliação de cultivares de melão sob condições de estresse salino. </w:t>
      </w:r>
      <w:r>
        <w:rPr>
          <w:b/>
          <w:sz w:val="20"/>
          <w:szCs w:val="20"/>
        </w:rPr>
        <w:t>Revista Caatinga</w:t>
      </w:r>
      <w:r>
        <w:rPr>
          <w:sz w:val="20"/>
          <w:szCs w:val="20"/>
        </w:rPr>
        <w:t>, v. 22, n. 2, p. 161- 169. 2009.</w:t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rPr>
          <w:sz w:val="20"/>
          <w:szCs w:val="20"/>
        </w:rPr>
      </w:pPr>
      <w:r>
        <w:rPr>
          <w:sz w:val="20"/>
          <w:szCs w:val="20"/>
        </w:rPr>
        <w:t xml:space="preserve">BARROSO, C. M.; FRANKE, L. B.; BARROSO, I. B. Substrato e luz na germinação das sementes de rainha-do-abismo. </w:t>
      </w:r>
      <w:r>
        <w:rPr>
          <w:b/>
          <w:sz w:val="20"/>
          <w:szCs w:val="20"/>
        </w:rPr>
        <w:t>Horticultura Brasileira</w:t>
      </w:r>
      <w:r>
        <w:rPr>
          <w:sz w:val="20"/>
          <w:szCs w:val="20"/>
        </w:rPr>
        <w:t>, v. 28, n. 2, p. 236-240. 2010.</w:t>
      </w:r>
    </w:p>
    <w:p>
      <w:pPr>
        <w:pStyle w:val="Default"/>
        <w:tabs>
          <w:tab w:val="left" w:pos="709" w:leader="none"/>
        </w:tabs>
        <w:spacing w:lineRule="atLeast" w:line="281" w:before="240" w:after="16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CONUS, L. A.; CARDOSO, P. C.; VENTUROSO, L. R. &amp; SCALON, S. P. Q. Germinação de sementes e vigor de plântulas de milho submetidas ao estresse salino induzido por diferentes sais. </w:t>
      </w:r>
      <w:r>
        <w:rPr>
          <w:b/>
          <w:sz w:val="20"/>
          <w:szCs w:val="20"/>
        </w:rPr>
        <w:t>Revista Brasileira de Sementes</w:t>
      </w:r>
      <w:r>
        <w:rPr>
          <w:sz w:val="20"/>
          <w:szCs w:val="20"/>
        </w:rPr>
        <w:t>, v. 31, n. 4, p. 67-74. 2009.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CORRÊA, N. S.; BANDEIRA, J. M.; MARINI, P.; BORBA, I. C. G.; LOPES, N. F.; MORAES, D. M. Salt stress: antioxidant activity as a physiological adaptation of onion cultivars. </w:t>
      </w:r>
      <w:r>
        <w:rPr>
          <w:b/>
          <w:sz w:val="20"/>
          <w:szCs w:val="20"/>
        </w:rPr>
        <w:t>Acta Botanica Brasilica</w:t>
      </w:r>
      <w:r>
        <w:rPr>
          <w:sz w:val="20"/>
          <w:szCs w:val="20"/>
        </w:rPr>
        <w:t>, v. 27, n. 2, p. 394-399. 2013.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DIAS, N. S.; BLANCO, F. F. Efeitos dos sais no solo e na planta. In: Gheyi, H. R.; Dias, N. S. &amp; Lacerda, C. F. (org.). 2010. Manejo da salinidade na agricultura: </w:t>
      </w:r>
      <w:r>
        <w:rPr>
          <w:b/>
          <w:sz w:val="20"/>
          <w:szCs w:val="20"/>
        </w:rPr>
        <w:t>Estudos Básicos e Aplicados</w:t>
      </w:r>
      <w:r>
        <w:rPr>
          <w:sz w:val="20"/>
          <w:szCs w:val="20"/>
        </w:rPr>
        <w:t>. Fortaleza: INCT Sal, Cap. 9, p. 129-140. 2010.</w:t>
      </w:r>
    </w:p>
    <w:p>
      <w:pPr>
        <w:pStyle w:val="Normal"/>
        <w:spacing w:lineRule="auto" w:line="240" w:before="0" w:after="0"/>
        <w:ind w:left="709" w:hanging="71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1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FERRAZ, R. A. et al. Emergência de sementes de romã tratadas com reguladores vegetais. </w:t>
      </w:r>
      <w:r>
        <w:rPr>
          <w:b/>
          <w:sz w:val="20"/>
          <w:szCs w:val="20"/>
        </w:rPr>
        <w:t>Journal of Agronomic Sciences</w:t>
      </w:r>
      <w:r>
        <w:rPr>
          <w:sz w:val="20"/>
          <w:szCs w:val="20"/>
        </w:rPr>
        <w:t>, Umuarama. v 5, n 2, p 226-236. 2016.</w:t>
      </w:r>
    </w:p>
    <w:p>
      <w:pPr>
        <w:pStyle w:val="Normal"/>
        <w:spacing w:lineRule="auto" w:line="240" w:before="0" w:after="0"/>
        <w:ind w:left="709" w:hanging="714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709" w:hanging="709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INCAPER. </w:t>
      </w:r>
      <w:r>
        <w:rPr>
          <w:b/>
          <w:sz w:val="20"/>
          <w:szCs w:val="20"/>
        </w:rPr>
        <w:t>Planejamento e programação de ações para Santa Teresa</w:t>
      </w:r>
      <w:r>
        <w:rPr>
          <w:sz w:val="20"/>
          <w:szCs w:val="20"/>
        </w:rPr>
        <w:t>. Programa de assistência técnica e extensão rural PROATER, Secretaria de Agricultura. 2011.</w:t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 xml:space="preserve">LOPEZ, K. P. et al. </w:t>
      </w:r>
      <w:r>
        <w:rPr>
          <w:sz w:val="20"/>
          <w:szCs w:val="20"/>
        </w:rPr>
        <w:t>Comportamento de sementes de romã (</w:t>
      </w:r>
      <w:r>
        <w:rPr>
          <w:i/>
          <w:iCs/>
          <w:sz w:val="20"/>
          <w:szCs w:val="20"/>
        </w:rPr>
        <w:t>Punica granatum</w:t>
      </w:r>
      <w:r>
        <w:rPr>
          <w:sz w:val="20"/>
          <w:szCs w:val="20"/>
        </w:rPr>
        <w:t xml:space="preserve"> L.) submetidas à fermentação e secagem. </w:t>
      </w:r>
      <w:r>
        <w:rPr>
          <w:b/>
          <w:sz w:val="20"/>
          <w:szCs w:val="20"/>
        </w:rPr>
        <w:t>Revista Brasileira de Fruticultura</w:t>
      </w:r>
      <w:r>
        <w:rPr>
          <w:sz w:val="20"/>
          <w:szCs w:val="20"/>
        </w:rPr>
        <w:t xml:space="preserve">. Jaboticabal - SP. v. 23, n 2, p 369-372. </w:t>
      </w:r>
      <w:r>
        <w:rPr>
          <w:sz w:val="20"/>
          <w:szCs w:val="20"/>
          <w:lang w:val="en-US"/>
        </w:rPr>
        <w:t>2001.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LOPES, J.C.; MACEDO, C.M.P. Germinação de sementes de sob influência do teor de substrato e estresse salino. </w:t>
      </w:r>
      <w:r>
        <w:rPr>
          <w:b/>
          <w:sz w:val="20"/>
          <w:szCs w:val="20"/>
        </w:rPr>
        <w:t>Revista Brasileira de Sementes</w:t>
      </w:r>
      <w:r>
        <w:rPr>
          <w:sz w:val="20"/>
          <w:szCs w:val="20"/>
        </w:rPr>
        <w:t xml:space="preserve">, Brasília, v.30, n.3, p.79-85. </w:t>
      </w:r>
      <w:r>
        <w:rPr>
          <w:sz w:val="20"/>
          <w:szCs w:val="20"/>
          <w:lang w:val="en-US"/>
        </w:rPr>
        <w:t>2008.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MAIA, J. M.; FERREIRA-SILVA, S. L.; VOIGT, E. L.; MACEDO, C. E. C.; PONTE, L. F. A.; SILVEIRA, J. A. G. Atividade de enzimas antioxidantes e inibição do crescimento radicular de feijão-caupi sob diferentes níveis de salinidade. </w:t>
      </w:r>
      <w:r>
        <w:rPr>
          <w:b/>
          <w:sz w:val="20"/>
          <w:szCs w:val="20"/>
        </w:rPr>
        <w:t>Acta Botanica Brasílica</w:t>
      </w:r>
      <w:r>
        <w:rPr>
          <w:sz w:val="20"/>
          <w:szCs w:val="20"/>
        </w:rPr>
        <w:t>, v. 26, n. 2, p. 342-349. 2012.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 xml:space="preserve">MOTERLE, L.M.; LOPES, P.C.; BRACCINI, A.L.; SCAPIM, C.A. Germinação de sementes e crescimento de plântulas de cultivares de milho-pipoca submetidas ao estresse hídrico e salino. </w:t>
      </w:r>
      <w:r>
        <w:rPr>
          <w:b/>
          <w:sz w:val="20"/>
          <w:szCs w:val="20"/>
          <w:lang w:val="en-US"/>
        </w:rPr>
        <w:t>Revista Brasileira de Sementes</w:t>
      </w:r>
      <w:r>
        <w:rPr>
          <w:sz w:val="20"/>
          <w:szCs w:val="20"/>
          <w:lang w:val="en-US"/>
        </w:rPr>
        <w:t>, Brasília, v.28, n.3, p.169-176, 2006.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  <w:lang w:val="en-US"/>
        </w:rPr>
        <w:t xml:space="preserve">MUNNS, R. Comparative physiology of salt and water stress. </w:t>
      </w:r>
      <w:r>
        <w:rPr>
          <w:b/>
          <w:sz w:val="20"/>
          <w:szCs w:val="20"/>
          <w:lang w:val="en-US"/>
        </w:rPr>
        <w:t>Plant, Cell and Environment</w:t>
      </w:r>
      <w:r>
        <w:rPr>
          <w:sz w:val="20"/>
          <w:szCs w:val="20"/>
          <w:lang w:val="en-US"/>
        </w:rPr>
        <w:t xml:space="preserve">, v. 25, p. 239-250. </w:t>
      </w:r>
      <w:r>
        <w:rPr>
          <w:sz w:val="20"/>
          <w:szCs w:val="20"/>
        </w:rPr>
        <w:t>2002.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PEDROTTI, A.; CHAGAS, R. M.; RAMOS, V. C.; PRATA, A. P. N.; LUCAS, A. A. T.; SANTOS, P. B. Causas e consequências do processo de salinização dos solos. </w:t>
      </w:r>
      <w:r>
        <w:rPr>
          <w:b/>
          <w:sz w:val="20"/>
          <w:szCs w:val="20"/>
        </w:rPr>
        <w:t>Revista Eletrônica em Gestão, Educação e Tecnologia Ambiental</w:t>
      </w:r>
      <w:r>
        <w:rPr>
          <w:sz w:val="20"/>
          <w:szCs w:val="20"/>
        </w:rPr>
        <w:t>, v. 19, n. 2, p. 1308- 1324. 2015.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PRISCO, J. T.; GOMES Filho, E. Fisiologia e bioquímica do estresse salino em plantas. In: GHEYI, H. R.; DIAS, N. S. &amp; LACERDA, C. F. (org.). </w:t>
      </w:r>
      <w:r>
        <w:rPr>
          <w:b/>
          <w:sz w:val="20"/>
          <w:szCs w:val="20"/>
        </w:rPr>
        <w:t>Manejo da salinidade na agricultura</w:t>
      </w:r>
      <w:r>
        <w:rPr>
          <w:sz w:val="20"/>
          <w:szCs w:val="20"/>
        </w:rPr>
        <w:t>: Estudos Básicos e Aplicados. Fortaleza: INCT Sal, Cap. 10, p.143- 159. 2010.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>RIBEIRO, M.C.C.; MARQUES, B.M.; AMARRO FILHO, J. Efeito da salinidade na germinação de sementes de quatro cultivares de girassol (</w:t>
      </w:r>
      <w:r>
        <w:rPr>
          <w:i/>
          <w:iCs/>
          <w:sz w:val="20"/>
          <w:szCs w:val="20"/>
        </w:rPr>
        <w:t xml:space="preserve">Helianthus annuus </w:t>
      </w:r>
      <w:r>
        <w:rPr>
          <w:sz w:val="20"/>
          <w:szCs w:val="20"/>
        </w:rPr>
        <w:t xml:space="preserve">L.). </w:t>
      </w:r>
      <w:r>
        <w:rPr>
          <w:b/>
          <w:sz w:val="20"/>
          <w:szCs w:val="20"/>
        </w:rPr>
        <w:t>Revista Brasileira de Sementes</w:t>
      </w:r>
      <w:r>
        <w:rPr>
          <w:sz w:val="20"/>
          <w:szCs w:val="20"/>
        </w:rPr>
        <w:t>, 23: 281-284. 2001.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SILVA, E. N.; SILVEIRA, J. A. G.; RODRIGUES, C. R. F.; DUTRA, A. T. B.; ARAGÃO, R.M. Acúmulo de íons e crescimento de pinhão-manso sob diferentes níveis de salinidade. </w:t>
      </w:r>
      <w:r>
        <w:rPr>
          <w:b/>
          <w:sz w:val="20"/>
          <w:szCs w:val="20"/>
        </w:rPr>
        <w:t>Revista de Ciência Agronômica</w:t>
      </w:r>
      <w:r>
        <w:rPr>
          <w:sz w:val="20"/>
          <w:szCs w:val="20"/>
        </w:rPr>
        <w:t>, v. 40, n. 2, p. 240-246. 2009.</w:t>
      </w:r>
    </w:p>
    <w:p>
      <w:pPr>
        <w:pStyle w:val="Default"/>
        <w:tabs>
          <w:tab w:val="left" w:pos="709" w:leader="none"/>
        </w:tabs>
        <w:spacing w:lineRule="atLeast" w:line="281" w:before="240" w:after="16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SILVA, F. L. B.; LACERDA, C. F.; NEVES, A. L. R.; SOUSA, G. G.; SOUSA, C. H. C.; FERREIRA, F. J. Irrigação com águas salinas e uso de biofertilizante bovino nas trocas gasosas e produtividade de feijão-decorda. </w:t>
      </w:r>
      <w:r>
        <w:rPr>
          <w:b/>
          <w:sz w:val="20"/>
          <w:szCs w:val="20"/>
        </w:rPr>
        <w:t>Revista Irriga</w:t>
      </w:r>
      <w:r>
        <w:rPr>
          <w:sz w:val="20"/>
          <w:szCs w:val="20"/>
        </w:rPr>
        <w:t>, v. 18, n. 2, p. 304- 317. 2013.</w:t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tabs>
          <w:tab w:val="left" w:pos="709" w:leader="none"/>
        </w:tabs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TAIZ, L.; ZEIGER, E. </w:t>
      </w:r>
      <w:r>
        <w:rPr>
          <w:b/>
          <w:sz w:val="20"/>
          <w:szCs w:val="20"/>
        </w:rPr>
        <w:t>Fisiologia vegetal.</w:t>
      </w:r>
      <w:r>
        <w:rPr>
          <w:sz w:val="20"/>
          <w:szCs w:val="20"/>
        </w:rPr>
        <w:t xml:space="preserve"> Porto Alegre: Artmed. 2009.</w:t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</w:rPr>
        <w:t>TAKATA, W. et al.. Germinação de sementes de romãzeiras (</w:t>
      </w:r>
      <w:r>
        <w:rPr>
          <w:i/>
          <w:iCs/>
          <w:sz w:val="20"/>
          <w:szCs w:val="20"/>
        </w:rPr>
        <w:t>Punica granatum</w:t>
      </w:r>
      <w:r>
        <w:rPr>
          <w:sz w:val="20"/>
          <w:szCs w:val="20"/>
        </w:rPr>
        <w:t xml:space="preserve"> L.) de acordo com a concentração de giberelina. </w:t>
      </w:r>
      <w:r>
        <w:rPr>
          <w:b/>
          <w:sz w:val="20"/>
          <w:szCs w:val="20"/>
        </w:rPr>
        <w:t>Revista Brasileira de Fruticultura.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Jaboticabal - SP. v. 36, n 1, p 254-260. 2014</w:t>
      </w:r>
    </w:p>
    <w:p>
      <w:pPr>
        <w:pStyle w:val="Normal"/>
        <w:spacing w:lineRule="auto" w:line="240" w:before="0" w:after="0"/>
        <w:ind w:left="709" w:hanging="709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spacing w:lineRule="auto" w:line="240" w:before="0" w:after="0"/>
        <w:ind w:left="709" w:hanging="709"/>
        <w:rPr/>
      </w:pPr>
      <w:r>
        <w:rPr/>
      </w:r>
    </w:p>
    <w:p>
      <w:pPr>
        <w:sectPr>
          <w:type w:val="continuous"/>
          <w:pgSz w:w="11906" w:h="16838"/>
          <w:pgMar w:left="1417" w:right="1134" w:header="624" w:top="2268" w:footer="720" w:bottom="1417" w:gutter="0"/>
          <w:formProt w:val="false"/>
          <w:textDirection w:val="lrTb"/>
          <w:docGrid w:type="default" w:linePitch="360" w:charSpace="4294961151"/>
        </w:sectPr>
      </w:pPr>
    </w:p>
    <w:sectPr>
      <w:type w:val="continuous"/>
      <w:pgSz w:w="11906" w:h="16838"/>
      <w:pgMar w:left="1417" w:right="1134" w:header="624" w:top="2268" w:footer="72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Garamond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Nimbus Sans L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ind w:right="360" w:hanging="0"/>
      <w:rPr>
        <w:rFonts w:ascii="Tahoma" w:hAnsi="Tahoma"/>
        <w:sz w:val="18"/>
        <w:szCs w:val="18"/>
      </w:rPr>
    </w:pPr>
    <w:r>
      <w:rPr>
        <w:rFonts w:ascii="Tahoma" w:hAnsi="Tahoma"/>
        <w:sz w:val="18"/>
        <w:szCs w:val="18"/>
      </w:rPr>
      <mc:AlternateContent>
        <mc:Choice Requires="wps">
          <w:drawing>
            <wp:anchor behindDoc="1" distT="0" distB="0" distL="114300" distR="114300" simplePos="0" locked="0" layoutInCell="1" allowOverlap="1" relativeHeight="6">
              <wp:simplePos x="0" y="0"/>
              <wp:positionH relativeFrom="column">
                <wp:posOffset>-35560</wp:posOffset>
              </wp:positionH>
              <wp:positionV relativeFrom="paragraph">
                <wp:posOffset>116840</wp:posOffset>
              </wp:positionV>
              <wp:extent cx="5776595" cy="1270"/>
              <wp:effectExtent l="11430" t="12065" r="13335" b="6985"/>
              <wp:wrapNone/>
              <wp:docPr id="2" name="Lin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584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8pt,9.2pt" to="451.95pt,9.2pt" ID="Line 2" stroked="t" style="position:absolute">
              <v:stroke color="black" weight="9360" joinstyle="miter" endcap="flat"/>
              <v:fill o:detectmouseclick="t" on="false"/>
            </v:line>
          </w:pict>
        </mc:Fallback>
      </mc:AlternateContent>
      <mc:AlternateContent>
        <mc:Choice Requires="wps">
          <w:drawing>
            <wp:anchor behindDoc="1" distT="0" distB="0" distL="114300" distR="114300" simplePos="0" locked="0" layoutInCell="1" allowOverlap="1" relativeHeight="11">
              <wp:simplePos x="0" y="0"/>
              <wp:positionH relativeFrom="column">
                <wp:posOffset>-35560</wp:posOffset>
              </wp:positionH>
              <wp:positionV relativeFrom="paragraph">
                <wp:posOffset>116840</wp:posOffset>
              </wp:positionV>
              <wp:extent cx="5776595" cy="1270"/>
              <wp:effectExtent l="11430" t="12065" r="13335" b="6985"/>
              <wp:wrapNone/>
              <wp:docPr id="3" name="Line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75840" cy="0"/>
                      </a:xfrm>
                      <a:prstGeom prst="line">
                        <a:avLst/>
                      </a:prstGeom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2.8pt,9.2pt" to="451.95pt,9.2pt" ID="Line 6" stroked="t" style="position:absolute">
              <v:stroke color="black" weight="9360" joinstyle="miter" endcap="flat"/>
              <v:fill o:detectmouseclick="t" on="false"/>
            </v:line>
          </w:pict>
        </mc:Fallback>
      </mc:AlternateContent>
    </w:r>
  </w:p>
  <w:p>
    <w:pPr>
      <w:pStyle w:val="Rodap"/>
      <w:ind w:right="360" w:hanging="0"/>
      <w:jc w:val="right"/>
      <w:rPr>
        <w:sz w:val="18"/>
        <w:szCs w:val="18"/>
        <w:lang w:eastAsia="pt-BR"/>
      </w:rPr>
    </w:pPr>
    <w:r>
      <w:rPr>
        <w:sz w:val="18"/>
        <w:szCs w:val="18"/>
        <w:lang w:eastAsia="pt-BR"/>
      </w:rPr>
      <w:t>SEAGRO: Anais de Semana Acadêmica do Curso de Agronomia do CCAE/UFES, v. 2, n.1, 2018</w:t>
    </w:r>
  </w:p>
  <w:p>
    <w:pPr>
      <w:pStyle w:val="Rodap"/>
      <w:spacing w:before="0" w:after="160"/>
      <w:ind w:right="360" w:hanging="0"/>
      <w:jc w:val="right"/>
      <w:rPr>
        <w:rFonts w:ascii="Tahoma" w:hAnsi="Tahoma"/>
        <w:sz w:val="20"/>
      </w:rPr>
    </w:pPr>
    <w:r>
      <w:rPr>
        <w:sz w:val="18"/>
        <w:szCs w:val="18"/>
        <w:lang w:eastAsia="pt-BR"/>
      </w:rPr>
      <w:t xml:space="preserve"> </w:t>
    </w:r>
    <w:r>
      <w:rPr>
        <w:sz w:val="18"/>
        <w:szCs w:val="18"/>
        <w:lang w:eastAsia="pt-BR"/>
      </w:rPr>
      <w:t>ISSN: 2594-4452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spacing w:before="0" w:after="160"/>
      <w:ind w:left="-567" w:right="-569" w:hanging="0"/>
      <w:jc w:val="center"/>
      <w:rPr/>
    </w:pPr>
    <w:r>
      <w:rPr/>
      <w:drawing>
        <wp:inline distT="0" distB="9525" distL="0" distR="12065">
          <wp:extent cx="5760085" cy="828675"/>
          <wp:effectExtent l="0" t="0" r="0" b="0"/>
          <wp:docPr id="1" name="Picture 2" descr="cabeçár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cabeçári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pacing w:lineRule="auto" w:line="276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semiHidden="0" w:unhideWhenUsed="0"/>
    <w:lsdException w:name="footer" w:semiHidden="0" w:unhideWhenUsed="0"/>
    <w:lsdException w:name="caption" w:qFormat="1"/>
    <w:lsdException w:name="line number" w:semiHidden="0" w:unhideWhenUsed="0"/>
    <w:lsdException w:name="page number" w:semiHidden="0" w:unhideWhenUsed="0"/>
    <w:lsdException w:name="List" w:semiHidden="0" w:unhideWhenUsed="0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semiHidden="0"/>
    <w:lsdException w:name="Body Text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semiHidden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/>
    <w:lsdException w:name="Placeholder Text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ar-SA" w:val="pt-BR" w:bidi="ar-SA"/>
    </w:rPr>
  </w:style>
  <w:style w:type="paragraph" w:styleId="Ttulo1">
    <w:name w:val="Título 1"/>
    <w:basedOn w:val="Normal"/>
    <w:qFormat/>
    <w:pPr>
      <w:keepNext/>
      <w:numPr>
        <w:ilvl w:val="0"/>
        <w:numId w:val="1"/>
      </w:numPr>
      <w:tabs>
        <w:tab w:val="right" w:pos="8640" w:leader="none"/>
      </w:tabs>
      <w:spacing w:lineRule="auto" w:line="360" w:before="280" w:after="160"/>
      <w:outlineLvl w:val="0"/>
      <w:outlineLvl w:val="0"/>
    </w:pPr>
    <w:rPr>
      <w:rFonts w:ascii="Garamond" w:hAnsi="Garamond"/>
      <w:b/>
      <w:spacing w:val="-2"/>
      <w:szCs w:val="20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qFormat/>
    <w:rPr>
      <w:b/>
    </w:rPr>
  </w:style>
  <w:style w:type="character" w:styleId="FollowedHyperlink">
    <w:name w:val="FollowedHyperlink"/>
    <w:qFormat/>
    <w:rPr>
      <w:color w:val="800080"/>
      <w:u w:val="single"/>
    </w:rPr>
  </w:style>
  <w:style w:type="character" w:styleId="Linenumber">
    <w:name w:val="line number"/>
    <w:qFormat/>
    <w:rPr/>
  </w:style>
  <w:style w:type="character" w:styleId="Fontepargpadro1" w:customStyle="1">
    <w:name w:val="Fonte parág. padrão1"/>
    <w:qFormat/>
    <w:rPr/>
  </w:style>
  <w:style w:type="character" w:styleId="LinkdaInternet">
    <w:name w:val="Link da Internet"/>
    <w:rPr>
      <w:color w:val="0000FF"/>
      <w:u w:val="single"/>
    </w:rPr>
  </w:style>
  <w:style w:type="character" w:styleId="Pagenumber">
    <w:name w:val="page number"/>
    <w:basedOn w:val="Fontepargpadro1"/>
    <w:qFormat/>
    <w:rPr/>
  </w:style>
  <w:style w:type="character" w:styleId="TextodebaloChar" w:customStyle="1">
    <w:name w:val="Texto de balão Char"/>
    <w:link w:val="Textodebalo"/>
    <w:qFormat/>
    <w:rPr>
      <w:rFonts w:ascii="Tahoma" w:hAnsi="Tahoma" w:cs="Tahoma"/>
      <w:sz w:val="16"/>
      <w:szCs w:val="16"/>
      <w:lang w:eastAsia="ar-SA"/>
    </w:rPr>
  </w:style>
  <w:style w:type="character" w:styleId="A4" w:customStyle="1">
    <w:name w:val="A4"/>
    <w:uiPriority w:val="99"/>
    <w:qFormat/>
    <w:rsid w:val="00cf4fa3"/>
    <w:rPr>
      <w:color w:val="000000"/>
      <w:sz w:val="20"/>
      <w:szCs w:val="20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before="0" w:after="120"/>
    </w:pPr>
    <w:rPr/>
  </w:style>
  <w:style w:type="paragraph" w:styleId="Lista">
    <w:name w:val="Lista"/>
    <w:basedOn w:val="Corpodetexto"/>
    <w:pPr/>
    <w:rPr/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BodyText3">
    <w:name w:val="Body Text 3"/>
    <w:basedOn w:val="Normal"/>
    <w:unhideWhenUsed/>
    <w:qFormat/>
    <w:pPr>
      <w:spacing w:before="0" w:after="120"/>
    </w:pPr>
    <w:rPr>
      <w:sz w:val="16"/>
      <w:szCs w:val="16"/>
    </w:rPr>
  </w:style>
  <w:style w:type="paragraph" w:styleId="Cabealho">
    <w:name w:val="Cabeçalho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Rodap">
    <w:name w:val="Rodapé"/>
    <w:basedOn w:val="Normal"/>
    <w:pPr>
      <w:tabs>
        <w:tab w:val="center" w:pos="4419" w:leader="none"/>
        <w:tab w:val="right" w:pos="8838" w:leader="none"/>
      </w:tabs>
    </w:pPr>
    <w:rPr/>
  </w:style>
  <w:style w:type="paragraph" w:styleId="BalloonText">
    <w:name w:val="Balloon Text"/>
    <w:basedOn w:val="Normal"/>
    <w:link w:val="TextodebaloChar"/>
    <w:qFormat/>
    <w:pPr/>
    <w:rPr>
      <w:rFonts w:ascii="Tahoma" w:hAnsi="Tahoma" w:cs="Tahoma"/>
      <w:sz w:val="16"/>
      <w:szCs w:val="16"/>
    </w:rPr>
  </w:style>
  <w:style w:type="paragraph" w:styleId="Captulo" w:customStyle="1">
    <w:name w:val="Capítulo"/>
    <w:basedOn w:val="Normal"/>
    <w:qFormat/>
    <w:pPr>
      <w:keepNext/>
      <w:spacing w:before="240" w:after="120"/>
    </w:pPr>
    <w:rPr>
      <w:rFonts w:ascii="Nimbus Sans L" w:hAnsi="Nimbus Sans L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</w:rPr>
  </w:style>
  <w:style w:type="paragraph" w:styleId="TitulodoResumo" w:customStyle="1">
    <w:name w:val="Titulo do Resumo"/>
    <w:basedOn w:val="Normal"/>
    <w:qFormat/>
    <w:pPr>
      <w:jc w:val="center"/>
    </w:pPr>
    <w:rPr>
      <w:rFonts w:ascii="Arial" w:hAnsi="Arial" w:cs="Arial"/>
      <w:b/>
      <w:bCs/>
    </w:rPr>
  </w:style>
  <w:style w:type="paragraph" w:styleId="Nomeautoreseorientadores" w:customStyle="1">
    <w:name w:val="nome autores e orientadores"/>
    <w:basedOn w:val="Normal"/>
    <w:qFormat/>
    <w:pPr>
      <w:jc w:val="center"/>
    </w:pPr>
    <w:rPr>
      <w:rFonts w:ascii="Arial" w:hAnsi="Arial" w:cs="Arial"/>
      <w:b/>
      <w:bCs/>
      <w:i/>
      <w:iCs/>
    </w:rPr>
  </w:style>
  <w:style w:type="paragraph" w:styleId="Palavraschave" w:customStyle="1">
    <w:name w:val="Palavras-chave"/>
    <w:basedOn w:val="Normal"/>
    <w:qFormat/>
    <w:pPr/>
    <w:rPr>
      <w:rFonts w:ascii="Arial" w:hAnsi="Arial" w:cs="Arial"/>
      <w:sz w:val="20"/>
    </w:rPr>
  </w:style>
  <w:style w:type="paragraph" w:styleId="Readeconhecimento" w:customStyle="1">
    <w:name w:val="Área de conhecimento"/>
    <w:basedOn w:val="Normal"/>
    <w:qFormat/>
    <w:pPr/>
    <w:rPr>
      <w:rFonts w:ascii="Arial" w:hAnsi="Arial" w:cs="Arial"/>
      <w:sz w:val="20"/>
    </w:rPr>
  </w:style>
  <w:style w:type="paragraph" w:styleId="Endereos" w:customStyle="1">
    <w:name w:val="Endereços"/>
    <w:basedOn w:val="Normal"/>
    <w:qFormat/>
    <w:pPr>
      <w:jc w:val="center"/>
    </w:pPr>
    <w:rPr>
      <w:rFonts w:ascii="Arial" w:hAnsi="Arial" w:cs="Arial"/>
      <w:sz w:val="20"/>
    </w:rPr>
  </w:style>
  <w:style w:type="paragraph" w:styleId="Palavrachave" w:customStyle="1">
    <w:name w:val="Palavra chave"/>
    <w:basedOn w:val="Normal"/>
    <w:qFormat/>
    <w:pPr/>
    <w:rPr>
      <w:rFonts w:ascii="Arial" w:hAnsi="Arial" w:cs="Arial"/>
      <w:sz w:val="20"/>
    </w:rPr>
  </w:style>
  <w:style w:type="paragraph" w:styleId="Resumo" w:customStyle="1">
    <w:name w:val="Resumo"/>
    <w:basedOn w:val="Cabealho"/>
    <w:qFormat/>
    <w:pPr>
      <w:spacing w:before="120" w:after="120"/>
      <w:jc w:val="both"/>
    </w:pPr>
    <w:rPr>
      <w:rFonts w:ascii="Arial" w:hAnsi="Arial" w:cs="Arial"/>
      <w:sz w:val="20"/>
    </w:rPr>
  </w:style>
  <w:style w:type="paragraph" w:styleId="TextosemFormatao1" w:customStyle="1">
    <w:name w:val="Texto sem Formatação1"/>
    <w:basedOn w:val="Normal"/>
    <w:qFormat/>
    <w:pPr/>
    <w:rPr>
      <w:rFonts w:ascii="Courier New" w:hAnsi="Courier New"/>
      <w:sz w:val="20"/>
      <w:lang w:val="hr-HR"/>
    </w:rPr>
  </w:style>
  <w:style w:type="paragraph" w:styleId="Contedodatabela" w:customStyle="1">
    <w:name w:val="Conteúdo da tabela"/>
    <w:basedOn w:val="Normal"/>
    <w:qFormat/>
    <w:rsid w:val="00cf4fa3"/>
    <w:pPr>
      <w:suppressLineNumbers/>
      <w:spacing w:lineRule="auto" w:line="240" w:before="0" w:after="0"/>
      <w:textAlignment w:val="baseline"/>
    </w:pPr>
    <w:rPr>
      <w:rFonts w:ascii="Liberation Serif" w:hAnsi="Liberation Serif" w:eastAsia="SimSun" w:cs="Mangal"/>
      <w:lang w:eastAsia="zh-CN" w:bidi="hi-IN"/>
    </w:rPr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</w:rPr>
  </w:style>
  <w:style w:type="paragraph" w:styleId="Contedodoquadro" w:customStyle="1">
    <w:name w:val="Conteúdo do quadro"/>
    <w:basedOn w:val="Corpodetexto"/>
    <w:qFormat/>
    <w:pPr/>
    <w:rPr/>
  </w:style>
  <w:style w:type="paragraph" w:styleId="BATitle" w:customStyle="1">
    <w:name w:val="BA_Title"/>
    <w:basedOn w:val="Normal"/>
    <w:next w:val="Normal"/>
    <w:qFormat/>
    <w:rsid w:val="00f347b3"/>
    <w:pPr>
      <w:suppressAutoHyphens w:val="false"/>
      <w:overflowPunct w:val="true"/>
      <w:spacing w:lineRule="exact" w:line="480" w:before="720" w:after="240"/>
      <w:ind w:right="3024" w:hanging="0"/>
      <w:textAlignment w:val="baseline"/>
    </w:pPr>
    <w:rPr>
      <w:rFonts w:ascii="Helvetica" w:hAnsi="Helvetica" w:cs="Helvetica"/>
      <w:b/>
      <w:bCs/>
      <w:sz w:val="44"/>
      <w:szCs w:val="44"/>
      <w:lang w:val="en-US" w:eastAsia="pt-BR"/>
    </w:rPr>
  </w:style>
  <w:style w:type="paragraph" w:styleId="BCAuthorAddress" w:customStyle="1">
    <w:name w:val="BC_Author_Address"/>
    <w:basedOn w:val="Normal"/>
    <w:next w:val="Normal"/>
    <w:qFormat/>
    <w:rsid w:val="00cf4fa3"/>
    <w:pPr>
      <w:suppressAutoHyphens w:val="false"/>
      <w:overflowPunct w:val="true"/>
      <w:spacing w:lineRule="exact" w:line="240" w:before="0" w:after="120"/>
      <w:ind w:right="3024" w:hanging="0"/>
      <w:textAlignment w:val="baseline"/>
    </w:pPr>
    <w:rPr>
      <w:rFonts w:ascii="Times" w:hAnsi="Times" w:cs="Times"/>
      <w:i/>
      <w:iCs/>
      <w:sz w:val="20"/>
      <w:szCs w:val="20"/>
      <w:lang w:val="en-US" w:eastAsia="pt-BR"/>
    </w:rPr>
  </w:style>
  <w:style w:type="paragraph" w:styleId="TAMainText" w:customStyle="1">
    <w:name w:val="TA_Main_Text"/>
    <w:basedOn w:val="Normal"/>
    <w:qFormat/>
    <w:rsid w:val="00cf4fa3"/>
    <w:pPr>
      <w:suppressAutoHyphens w:val="false"/>
      <w:overflowPunct w:val="true"/>
      <w:spacing w:lineRule="exact" w:line="240" w:before="0" w:after="0"/>
      <w:ind w:firstLine="202"/>
      <w:jc w:val="both"/>
      <w:textAlignment w:val="baseline"/>
    </w:pPr>
    <w:rPr>
      <w:rFonts w:ascii="Times" w:hAnsi="Times" w:cs="Times"/>
      <w:sz w:val="20"/>
      <w:szCs w:val="20"/>
      <w:lang w:val="en-US" w:eastAsia="pt-BR"/>
    </w:rPr>
  </w:style>
  <w:style w:type="paragraph" w:styleId="SemEspaamento1" w:customStyle="1">
    <w:name w:val="Sem Espaçamento1"/>
    <w:qFormat/>
    <w:rsid w:val="00cf4fa3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cs="Calibri" w:eastAsia="Times New Roman"/>
      <w:color w:val="auto"/>
      <w:sz w:val="22"/>
      <w:szCs w:val="22"/>
      <w:lang w:eastAsia="zh-CN" w:val="pt-BR" w:bidi="ar-SA"/>
    </w:rPr>
  </w:style>
  <w:style w:type="paragraph" w:styleId="Pa10" w:customStyle="1">
    <w:name w:val="Pa10"/>
    <w:basedOn w:val="Normal"/>
    <w:next w:val="Normal"/>
    <w:uiPriority w:val="99"/>
    <w:qFormat/>
    <w:rsid w:val="00cf4fa3"/>
    <w:pPr>
      <w:suppressAutoHyphens w:val="false"/>
      <w:spacing w:lineRule="atLeast" w:line="241" w:before="120" w:after="0"/>
    </w:pPr>
    <w:rPr>
      <w:rFonts w:ascii="Calibri" w:hAnsi="Calibri" w:eastAsia="Calibri"/>
      <w:lang w:eastAsia="zh-CN"/>
    </w:rPr>
  </w:style>
  <w:style w:type="paragraph" w:styleId="Default" w:customStyle="1">
    <w:name w:val="Default"/>
    <w:qFormat/>
    <w:rsid w:val="00cf4fa3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4mvspaixao@gmail.com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LibreOffice/5.1.1.3$Windows_x86 LibreOffice_project/89f508ef3ecebd2cfb8e1def0f0ba9a803b88a6d</Application>
  <Pages>5</Pages>
  <Words>2362</Words>
  <Characters>12957</Characters>
  <CharactersWithSpaces>15243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2017-08-01T10:47:00Z</dcterms:created>
  <dc:creator/>
  <dc:description/>
  <dc:language>pt-BR</dc:language>
  <cp:lastModifiedBy/>
  <dcterms:modified xsi:type="dcterms:W3CDTF">2018-06-30T10:58:11Z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KSOProductBuildVer">
    <vt:lpwstr>1046-10.1.0.5707</vt:lpwstr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