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72669" w:rsidRPr="00272669" w:rsidRDefault="00272669" w:rsidP="00272669">
      <w:pPr>
        <w:pStyle w:val="BATitle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272669">
        <w:rPr>
          <w:rFonts w:ascii="Times New Roman" w:hAnsi="Times New Roman" w:cs="Times New Roman"/>
          <w:sz w:val="24"/>
          <w:szCs w:val="24"/>
          <w:lang w:val="pt-BR"/>
        </w:rPr>
        <w:t xml:space="preserve">ÁCIDO GIBERÉLICO NO DESENVOLVIMENTO DE </w:t>
      </w:r>
    </w:p>
    <w:p w:rsidR="00222907" w:rsidRPr="00272669" w:rsidRDefault="00272669" w:rsidP="00272669">
      <w:pPr>
        <w:jc w:val="center"/>
        <w:rPr>
          <w:b/>
        </w:rPr>
      </w:pPr>
      <w:r w:rsidRPr="00272669">
        <w:rPr>
          <w:b/>
        </w:rPr>
        <w:t>PLÂNTULAS DE ROMÂZEIRA</w:t>
      </w:r>
    </w:p>
    <w:p w:rsidR="00272669" w:rsidRPr="00272669" w:rsidRDefault="00272669" w:rsidP="00272669">
      <w:pPr>
        <w:pStyle w:val="TitulodoResumo"/>
        <w:tabs>
          <w:tab w:val="left" w:pos="2145"/>
          <w:tab w:val="center" w:pos="4419"/>
        </w:tabs>
        <w:spacing w:after="0" w:line="240" w:lineRule="auto"/>
        <w:rPr>
          <w:rFonts w:ascii="Times New Roman" w:hAnsi="Times New Roman" w:cs="Times New Roman"/>
          <w:bCs w:val="0"/>
          <w:lang w:val="en-US"/>
        </w:rPr>
      </w:pPr>
      <w:r w:rsidRPr="00272669">
        <w:rPr>
          <w:rFonts w:ascii="Times New Roman" w:hAnsi="Times New Roman" w:cs="Times New Roman"/>
          <w:bCs w:val="0"/>
          <w:lang w:val="en-US"/>
        </w:rPr>
        <w:t>GIBERÉLIC ACID IN THE DEVELOPMENT OF</w:t>
      </w:r>
    </w:p>
    <w:p w:rsidR="00222907" w:rsidRPr="00272669" w:rsidRDefault="00272669" w:rsidP="00272669">
      <w:pPr>
        <w:pStyle w:val="TitulodoResumo"/>
        <w:tabs>
          <w:tab w:val="left" w:pos="2145"/>
          <w:tab w:val="center" w:pos="4419"/>
        </w:tabs>
        <w:spacing w:after="0" w:line="240" w:lineRule="auto"/>
        <w:rPr>
          <w:rFonts w:ascii="Times New Roman" w:hAnsi="Times New Roman" w:cs="Times New Roman"/>
          <w:bCs w:val="0"/>
        </w:rPr>
      </w:pPr>
      <w:r w:rsidRPr="00272669">
        <w:rPr>
          <w:rFonts w:ascii="Times New Roman" w:hAnsi="Times New Roman" w:cs="Times New Roman"/>
          <w:bCs w:val="0"/>
        </w:rPr>
        <w:t xml:space="preserve">SEEDS OF </w:t>
      </w:r>
      <w:r w:rsidRPr="00272669">
        <w:rPr>
          <w:rFonts w:ascii="Times New Roman" w:hAnsi="Times New Roman" w:cs="Times New Roman"/>
        </w:rPr>
        <w:t>ROMÂZEIRA</w:t>
      </w:r>
    </w:p>
    <w:p w:rsidR="00272669" w:rsidRDefault="00272669" w:rsidP="00272669">
      <w:pPr>
        <w:pStyle w:val="TitulodoResumo"/>
        <w:tabs>
          <w:tab w:val="left" w:pos="2145"/>
          <w:tab w:val="center" w:pos="4419"/>
        </w:tabs>
        <w:spacing w:after="0" w:line="240" w:lineRule="auto"/>
        <w:rPr>
          <w:rFonts w:ascii="Times New Roman" w:hAnsi="Times New Roman" w:cs="Times New Roman"/>
        </w:rPr>
      </w:pPr>
    </w:p>
    <w:p w:rsidR="00222907" w:rsidRDefault="00CF04DF" w:rsidP="00DF2488">
      <w:pPr>
        <w:jc w:val="center"/>
      </w:pPr>
      <w:r w:rsidRPr="001A4F01">
        <w:rPr>
          <w:b/>
        </w:rPr>
        <w:t>Marcus Vinicius Sandoval Paixão</w:t>
      </w:r>
      <w:r w:rsidR="004D1BE7">
        <w:rPr>
          <w:b/>
          <w:vertAlign w:val="superscript"/>
        </w:rPr>
        <w:t>1</w:t>
      </w:r>
      <w:r>
        <w:rPr>
          <w:b/>
        </w:rPr>
        <w:t>, I</w:t>
      </w:r>
      <w:r w:rsidR="00F347B3" w:rsidRPr="001A4F01">
        <w:rPr>
          <w:b/>
        </w:rPr>
        <w:t xml:space="preserve">sabella </w:t>
      </w:r>
      <w:proofErr w:type="spellStart"/>
      <w:r w:rsidR="00F347B3" w:rsidRPr="001A4F01">
        <w:rPr>
          <w:b/>
        </w:rPr>
        <w:t>Beltrame</w:t>
      </w:r>
      <w:proofErr w:type="spellEnd"/>
      <w:r w:rsidR="00F347B3" w:rsidRPr="001A4F01">
        <w:rPr>
          <w:b/>
        </w:rPr>
        <w:t xml:space="preserve"> de Paulo</w:t>
      </w:r>
      <w:r w:rsidR="00F347B3" w:rsidRPr="001A4F01">
        <w:rPr>
          <w:b/>
          <w:vertAlign w:val="superscript"/>
        </w:rPr>
        <w:t>2</w:t>
      </w:r>
      <w:r w:rsidR="00F347B3" w:rsidRPr="001A4F01">
        <w:rPr>
          <w:b/>
        </w:rPr>
        <w:t xml:space="preserve">, Rafaela </w:t>
      </w:r>
      <w:proofErr w:type="spellStart"/>
      <w:r w:rsidR="00F347B3" w:rsidRPr="001A4F01">
        <w:rPr>
          <w:b/>
        </w:rPr>
        <w:t>Melim</w:t>
      </w:r>
      <w:proofErr w:type="spellEnd"/>
      <w:r w:rsidR="00F347B3" w:rsidRPr="001A4F01">
        <w:rPr>
          <w:b/>
        </w:rPr>
        <w:t xml:space="preserve"> Grazzioti</w:t>
      </w:r>
      <w:r w:rsidR="00F347B3" w:rsidRPr="001A4F01">
        <w:rPr>
          <w:b/>
          <w:vertAlign w:val="superscript"/>
        </w:rPr>
        <w:t>3</w:t>
      </w:r>
      <w:r w:rsidR="00F347B3" w:rsidRPr="001A4F01">
        <w:rPr>
          <w:b/>
        </w:rPr>
        <w:t>,</w:t>
      </w:r>
      <w:r w:rsidR="004D1BE7" w:rsidRPr="004D1BE7">
        <w:rPr>
          <w:b/>
          <w:i/>
        </w:rPr>
        <w:t xml:space="preserve"> </w:t>
      </w:r>
      <w:proofErr w:type="spellStart"/>
      <w:r w:rsidR="004D1BE7" w:rsidRPr="004D1BE7">
        <w:rPr>
          <w:b/>
        </w:rPr>
        <w:t>Angelica</w:t>
      </w:r>
      <w:proofErr w:type="spellEnd"/>
      <w:r w:rsidR="004D1BE7" w:rsidRPr="004D1BE7">
        <w:rPr>
          <w:b/>
        </w:rPr>
        <w:t xml:space="preserve"> Couto Correa</w:t>
      </w:r>
      <w:r w:rsidR="004D1BE7">
        <w:rPr>
          <w:b/>
          <w:vertAlign w:val="superscript"/>
        </w:rPr>
        <w:t>4</w:t>
      </w:r>
      <w:r w:rsidR="004D1BE7" w:rsidRPr="004D1BE7">
        <w:rPr>
          <w:b/>
        </w:rPr>
        <w:t xml:space="preserve">, Ana Cecília </w:t>
      </w:r>
      <w:r w:rsidR="004D1BE7" w:rsidRPr="004D1BE7">
        <w:rPr>
          <w:b/>
          <w:color w:val="222222"/>
          <w:shd w:val="clear" w:color="auto" w:fill="FFFFFF"/>
        </w:rPr>
        <w:t>Nepomuceno Hoffay</w:t>
      </w:r>
      <w:r w:rsidR="004D1BE7">
        <w:rPr>
          <w:b/>
          <w:vertAlign w:val="superscript"/>
        </w:rPr>
        <w:t>5</w:t>
      </w:r>
      <w:r w:rsidR="004D1BE7">
        <w:rPr>
          <w:rFonts w:eastAsia="Arial"/>
          <w:b/>
        </w:rPr>
        <w:t xml:space="preserve">, </w:t>
      </w:r>
      <w:proofErr w:type="spellStart"/>
      <w:r w:rsidR="004D1BE7">
        <w:rPr>
          <w:rFonts w:eastAsia="Arial"/>
          <w:b/>
        </w:rPr>
        <w:t>Andrieli</w:t>
      </w:r>
      <w:proofErr w:type="spellEnd"/>
      <w:r w:rsidR="004D1BE7">
        <w:rPr>
          <w:rFonts w:eastAsia="Arial"/>
          <w:b/>
        </w:rPr>
        <w:t xml:space="preserve"> Ferrari Mônico</w:t>
      </w:r>
      <w:r w:rsidR="004D1BE7">
        <w:rPr>
          <w:b/>
          <w:vertAlign w:val="superscript"/>
        </w:rPr>
        <w:t>6</w:t>
      </w:r>
    </w:p>
    <w:p w:rsidR="00CF4FA3" w:rsidRPr="0081417A" w:rsidRDefault="00F347B3" w:rsidP="00DF2488">
      <w:pPr>
        <w:pStyle w:val="BCAuthorAddress"/>
        <w:spacing w:after="0" w:line="240" w:lineRule="auto"/>
        <w:ind w:right="0"/>
        <w:jc w:val="center"/>
        <w:rPr>
          <w:rFonts w:ascii="Times New Roman" w:hAnsi="Times New Roman"/>
          <w:b/>
          <w:sz w:val="24"/>
          <w:szCs w:val="24"/>
          <w:u w:val="single"/>
          <w:lang w:val="pt-BR"/>
        </w:rPr>
      </w:pPr>
      <w:r w:rsidRPr="00CF4FA3">
        <w:rPr>
          <w:rFonts w:ascii="Times New Roman" w:hAnsi="Times New Roman"/>
          <w:i w:val="0"/>
          <w:vertAlign w:val="superscript"/>
          <w:lang w:val="pt-BR"/>
        </w:rPr>
        <w:t>1</w:t>
      </w:r>
      <w:r w:rsidRPr="00CF4FA3">
        <w:rPr>
          <w:rFonts w:ascii="Times New Roman" w:hAnsi="Times New Roman"/>
          <w:i w:val="0"/>
          <w:lang w:val="pt-BR"/>
        </w:rPr>
        <w:t>Istituto Federal do Espírito Santo,</w:t>
      </w:r>
      <w:r w:rsidR="004D1BE7" w:rsidRPr="004D1BE7">
        <w:rPr>
          <w:rFonts w:ascii="Times New Roman" w:hAnsi="Times New Roman"/>
          <w:i w:val="0"/>
          <w:vertAlign w:val="superscript"/>
          <w:lang w:val="pt-BR"/>
        </w:rPr>
        <w:t xml:space="preserve"> </w:t>
      </w:r>
      <w:r w:rsidR="004D1BE7" w:rsidRPr="00CF4FA3">
        <w:rPr>
          <w:rFonts w:ascii="Times New Roman" w:hAnsi="Times New Roman"/>
          <w:i w:val="0"/>
          <w:vertAlign w:val="superscript"/>
          <w:lang w:val="pt-BR"/>
        </w:rPr>
        <w:t>1</w:t>
      </w:r>
      <w:r w:rsidR="00CF04DF">
        <w:rPr>
          <w:rFonts w:ascii="Times New Roman" w:hAnsi="Times New Roman" w:cs="Times New Roman"/>
          <w:i w:val="0"/>
          <w:lang w:val="pt-BR"/>
        </w:rPr>
        <w:t>mvspaixao@gmail.com</w:t>
      </w:r>
      <w:r w:rsidR="00CF4FA3" w:rsidRPr="00CF4FA3">
        <w:rPr>
          <w:rFonts w:ascii="Times New Roman" w:hAnsi="Times New Roman" w:cs="Times New Roman"/>
          <w:i w:val="0"/>
          <w:lang w:val="pt-BR"/>
        </w:rPr>
        <w:t>,</w:t>
      </w:r>
      <w:r w:rsidR="00CF4FA3" w:rsidRPr="00CF4FA3">
        <w:rPr>
          <w:rFonts w:ascii="Times New Roman" w:hAnsi="Times New Roman"/>
          <w:i w:val="0"/>
          <w:lang w:val="pt-BR"/>
        </w:rPr>
        <w:t xml:space="preserve"> </w:t>
      </w:r>
      <w:r w:rsidR="004D1BE7">
        <w:rPr>
          <w:rFonts w:ascii="Times New Roman" w:hAnsi="Times New Roman"/>
          <w:i w:val="0"/>
          <w:vertAlign w:val="superscript"/>
          <w:lang w:val="pt-BR"/>
        </w:rPr>
        <w:t>2</w:t>
      </w:r>
      <w:hyperlink r:id="rId8" w:history="1">
        <w:r w:rsidR="00CF4FA3" w:rsidRPr="00CF4FA3">
          <w:rPr>
            <w:rStyle w:val="Hyperlink"/>
            <w:rFonts w:ascii="Times New Roman" w:hAnsi="Times New Roman"/>
            <w:i w:val="0"/>
            <w:color w:val="auto"/>
            <w:u w:val="none"/>
            <w:shd w:val="clear" w:color="auto" w:fill="FFFFFF"/>
            <w:lang w:val="pt-BR"/>
          </w:rPr>
          <w:t>isabeltramedepaulo@gmail.com</w:t>
        </w:r>
      </w:hyperlink>
      <w:r w:rsidR="00CF4FA3" w:rsidRPr="00CF4FA3">
        <w:rPr>
          <w:rStyle w:val="Hyperlink"/>
          <w:rFonts w:ascii="Times New Roman" w:hAnsi="Times New Roman"/>
          <w:i w:val="0"/>
          <w:color w:val="auto"/>
          <w:u w:val="none"/>
          <w:shd w:val="clear" w:color="auto" w:fill="FFFFFF"/>
          <w:lang w:val="pt-BR"/>
        </w:rPr>
        <w:t xml:space="preserve">, </w:t>
      </w:r>
      <w:r w:rsidR="004D1BE7">
        <w:rPr>
          <w:rFonts w:ascii="Times New Roman" w:hAnsi="Times New Roman"/>
          <w:i w:val="0"/>
          <w:vertAlign w:val="superscript"/>
          <w:lang w:val="pt-BR"/>
        </w:rPr>
        <w:t>3</w:t>
      </w:r>
      <w:hyperlink r:id="rId9" w:history="1">
        <w:r w:rsidR="00CF4FA3" w:rsidRPr="00CF4FA3">
          <w:rPr>
            <w:rStyle w:val="Hyperlink"/>
            <w:rFonts w:ascii="Times New Roman" w:hAnsi="Times New Roman" w:cs="Times New Roman"/>
            <w:i w:val="0"/>
            <w:color w:val="auto"/>
            <w:u w:val="none"/>
            <w:shd w:val="clear" w:color="auto" w:fill="FFFFFF"/>
            <w:lang w:val="pt-BR"/>
          </w:rPr>
          <w:t>rm.grazzioti@hotmail.com</w:t>
        </w:r>
      </w:hyperlink>
      <w:r w:rsidR="00CF4FA3" w:rsidRPr="00CF4FA3">
        <w:rPr>
          <w:rStyle w:val="Hyperlink"/>
          <w:rFonts w:ascii="Times New Roman" w:hAnsi="Times New Roman" w:cs="Times New Roman"/>
          <w:i w:val="0"/>
          <w:color w:val="auto"/>
          <w:u w:val="none"/>
          <w:shd w:val="clear" w:color="auto" w:fill="FFFFFF"/>
          <w:lang w:val="pt-BR"/>
        </w:rPr>
        <w:t>,</w:t>
      </w:r>
      <w:r w:rsidR="004D1BE7">
        <w:rPr>
          <w:rStyle w:val="Hyperlink"/>
          <w:rFonts w:ascii="Times New Roman" w:hAnsi="Times New Roman" w:cs="Times New Roman"/>
          <w:i w:val="0"/>
          <w:color w:val="auto"/>
          <w:u w:val="none"/>
          <w:shd w:val="clear" w:color="auto" w:fill="FFFFFF"/>
          <w:lang w:val="pt-BR"/>
        </w:rPr>
        <w:t xml:space="preserve"> </w:t>
      </w:r>
      <w:r w:rsidR="004D1BE7">
        <w:rPr>
          <w:rFonts w:ascii="Times New Roman" w:hAnsi="Times New Roman"/>
          <w:i w:val="0"/>
          <w:vertAlign w:val="superscript"/>
          <w:lang w:val="pt-BR"/>
        </w:rPr>
        <w:t>4</w:t>
      </w:r>
      <w:hyperlink r:id="rId10" w:history="1">
        <w:r w:rsidR="004D1BE7" w:rsidRPr="004D1BE7">
          <w:rPr>
            <w:rStyle w:val="Hyperlink"/>
            <w:rFonts w:ascii="Times New Roman" w:hAnsi="Times New Roman" w:cs="Times New Roman"/>
            <w:i w:val="0"/>
            <w:color w:val="auto"/>
            <w:u w:val="none"/>
            <w:shd w:val="clear" w:color="auto" w:fill="FFFFFF"/>
            <w:lang w:val="pt-BR"/>
          </w:rPr>
          <w:t>angelicacoutocorrea@gmail.com</w:t>
        </w:r>
      </w:hyperlink>
      <w:r w:rsidR="004D1BE7" w:rsidRPr="004D1BE7">
        <w:rPr>
          <w:rFonts w:ascii="Times New Roman" w:hAnsi="Times New Roman" w:cs="Times New Roman"/>
          <w:i w:val="0"/>
          <w:lang w:val="pt-BR"/>
        </w:rPr>
        <w:t xml:space="preserve">, </w:t>
      </w:r>
      <w:r w:rsidR="004D1BE7">
        <w:rPr>
          <w:rFonts w:ascii="Times New Roman" w:hAnsi="Times New Roman"/>
          <w:i w:val="0"/>
          <w:vertAlign w:val="superscript"/>
          <w:lang w:val="pt-BR"/>
        </w:rPr>
        <w:t>5</w:t>
      </w:r>
      <w:hyperlink r:id="rId11" w:tgtFrame="_blank" w:history="1">
        <w:r w:rsidR="004D1BE7" w:rsidRPr="004D1BE7">
          <w:rPr>
            <w:rStyle w:val="Hyperlink"/>
            <w:rFonts w:ascii="Times New Roman" w:hAnsi="Times New Roman" w:cs="Times New Roman"/>
            <w:i w:val="0"/>
            <w:color w:val="auto"/>
            <w:u w:val="none"/>
            <w:shd w:val="clear" w:color="auto" w:fill="FFFFFF"/>
            <w:lang w:val="pt-BR"/>
          </w:rPr>
          <w:t>ceciliahoffayagro@gmail.com</w:t>
        </w:r>
      </w:hyperlink>
      <w:r w:rsidR="0009438C">
        <w:rPr>
          <w:rStyle w:val="Hyperlink"/>
          <w:rFonts w:ascii="Times New Roman" w:hAnsi="Times New Roman" w:cs="Times New Roman"/>
          <w:i w:val="0"/>
          <w:color w:val="auto"/>
          <w:u w:val="none"/>
          <w:shd w:val="clear" w:color="auto" w:fill="FFFFFF"/>
          <w:lang w:val="pt-BR"/>
        </w:rPr>
        <w:t xml:space="preserve">, </w:t>
      </w:r>
      <w:r w:rsidR="004D1BE7">
        <w:rPr>
          <w:rFonts w:ascii="Times New Roman" w:hAnsi="Times New Roman"/>
          <w:i w:val="0"/>
          <w:vertAlign w:val="superscript"/>
          <w:lang w:val="pt-BR"/>
        </w:rPr>
        <w:t>6</w:t>
      </w:r>
      <w:hyperlink r:id="rId12" w:history="1">
        <w:r w:rsidR="004D1BE7" w:rsidRPr="004D1BE7">
          <w:rPr>
            <w:rStyle w:val="Hyperlink"/>
            <w:rFonts w:ascii="Times New Roman" w:eastAsia="Arial" w:hAnsi="Times New Roman"/>
            <w:i w:val="0"/>
            <w:color w:val="auto"/>
            <w:u w:val="none"/>
            <w:lang w:val="pt-BR"/>
          </w:rPr>
          <w:t>andrieliferrari10@gmail.com</w:t>
        </w:r>
      </w:hyperlink>
      <w:hyperlink r:id="rId13" w:history="1"/>
    </w:p>
    <w:p w:rsidR="00F347B3" w:rsidRDefault="00F347B3">
      <w:pPr>
        <w:pStyle w:val="Endereos"/>
        <w:rPr>
          <w:rFonts w:ascii="Times New Roman" w:hAnsi="Times New Roman" w:cs="Times New Roman"/>
          <w:vertAlign w:val="superscript"/>
        </w:rPr>
      </w:pPr>
    </w:p>
    <w:p w:rsidR="00222907" w:rsidRDefault="00004629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Apresentado na           </w:t>
      </w:r>
    </w:p>
    <w:p w:rsidR="00222907" w:rsidRDefault="00004629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29ª Semana </w:t>
      </w:r>
      <w:r w:rsidR="00C83133">
        <w:rPr>
          <w:rFonts w:ascii="Times New Roman" w:hAnsi="Times New Roman" w:cs="Times New Roman"/>
        </w:rPr>
        <w:t>Agronômica</w:t>
      </w:r>
      <w:r>
        <w:rPr>
          <w:rFonts w:ascii="Times New Roman" w:hAnsi="Times New Roman" w:cs="Times New Roman"/>
        </w:rPr>
        <w:t xml:space="preserve"> do CCAE/UFES - SEAGRO 2018</w:t>
      </w:r>
    </w:p>
    <w:p w:rsidR="00222907" w:rsidRDefault="00004629">
      <w:pPr>
        <w:pStyle w:val="Endereo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 </w:t>
      </w:r>
      <w:proofErr w:type="gramStart"/>
      <w:r>
        <w:rPr>
          <w:rFonts w:ascii="Times New Roman" w:hAnsi="Times New Roman" w:cs="Times New Roman"/>
        </w:rPr>
        <w:t>à</w:t>
      </w:r>
      <w:proofErr w:type="gramEnd"/>
      <w:r>
        <w:rPr>
          <w:rFonts w:ascii="Times New Roman" w:hAnsi="Times New Roman" w:cs="Times New Roman"/>
        </w:rPr>
        <w:t xml:space="preserve"> 21 de Setembro de 2018, Alegre - ES, Brasil</w:t>
      </w:r>
    </w:p>
    <w:p w:rsidR="00862950" w:rsidRDefault="00862950" w:rsidP="003747D4">
      <w:pPr>
        <w:spacing w:after="0" w:line="240" w:lineRule="auto"/>
        <w:ind w:firstLine="708"/>
        <w:jc w:val="both"/>
        <w:rPr>
          <w:sz w:val="20"/>
        </w:rPr>
      </w:pPr>
    </w:p>
    <w:p w:rsidR="00272669" w:rsidRPr="00272669" w:rsidRDefault="00004629" w:rsidP="00272669">
      <w:pPr>
        <w:spacing w:after="0" w:line="240" w:lineRule="auto"/>
        <w:jc w:val="both"/>
        <w:rPr>
          <w:kern w:val="28"/>
          <w:sz w:val="20"/>
          <w:szCs w:val="20"/>
        </w:rPr>
      </w:pPr>
      <w:r w:rsidRPr="00272669">
        <w:rPr>
          <w:b/>
          <w:sz w:val="20"/>
          <w:szCs w:val="20"/>
        </w:rPr>
        <w:t>RESUMO -</w:t>
      </w:r>
      <w:r w:rsidRPr="00272669">
        <w:rPr>
          <w:sz w:val="20"/>
          <w:szCs w:val="20"/>
        </w:rPr>
        <w:t xml:space="preserve"> </w:t>
      </w:r>
      <w:r w:rsidR="005D3995" w:rsidRPr="00272669">
        <w:rPr>
          <w:sz w:val="20"/>
          <w:szCs w:val="20"/>
        </w:rPr>
        <w:t>A romãzeira (</w:t>
      </w:r>
      <w:r w:rsidR="005D3995" w:rsidRPr="00272669">
        <w:rPr>
          <w:i/>
          <w:sz w:val="20"/>
          <w:szCs w:val="20"/>
        </w:rPr>
        <w:t xml:space="preserve">Punica </w:t>
      </w:r>
      <w:proofErr w:type="spellStart"/>
      <w:r w:rsidR="005D3995" w:rsidRPr="00272669">
        <w:rPr>
          <w:i/>
          <w:sz w:val="20"/>
          <w:szCs w:val="20"/>
        </w:rPr>
        <w:t>Granatum</w:t>
      </w:r>
      <w:proofErr w:type="spellEnd"/>
      <w:r w:rsidR="005D3995" w:rsidRPr="00272669">
        <w:rPr>
          <w:sz w:val="20"/>
          <w:szCs w:val="20"/>
        </w:rPr>
        <w:t xml:space="preserve"> L</w:t>
      </w:r>
      <w:r w:rsidR="005D3995" w:rsidRPr="00272669">
        <w:rPr>
          <w:i/>
          <w:sz w:val="20"/>
          <w:szCs w:val="20"/>
        </w:rPr>
        <w:t>.</w:t>
      </w:r>
      <w:r w:rsidR="005D3995" w:rsidRPr="00272669">
        <w:rPr>
          <w:sz w:val="20"/>
          <w:szCs w:val="20"/>
        </w:rPr>
        <w:t xml:space="preserve">), da família </w:t>
      </w:r>
      <w:r w:rsidR="00272669" w:rsidRPr="00272669">
        <w:rPr>
          <w:sz w:val="20"/>
          <w:szCs w:val="20"/>
        </w:rPr>
        <w:t>é uma frutífera cultivada com facilidade, onde tem sido utilizada</w:t>
      </w:r>
      <w:r w:rsidR="00272669">
        <w:rPr>
          <w:sz w:val="20"/>
          <w:szCs w:val="20"/>
        </w:rPr>
        <w:t xml:space="preserve"> também</w:t>
      </w:r>
      <w:r w:rsidR="00272669" w:rsidRPr="00272669">
        <w:rPr>
          <w:sz w:val="20"/>
          <w:szCs w:val="20"/>
        </w:rPr>
        <w:t xml:space="preserve"> como planta ornamental, em parques e jardins, apresentando também propriedades medicinais</w:t>
      </w:r>
      <w:r w:rsidR="00272669">
        <w:rPr>
          <w:sz w:val="20"/>
          <w:szCs w:val="20"/>
        </w:rPr>
        <w:t>.</w:t>
      </w:r>
      <w:r w:rsidR="003747D4" w:rsidRPr="00272669">
        <w:rPr>
          <w:sz w:val="20"/>
          <w:szCs w:val="20"/>
        </w:rPr>
        <w:t xml:space="preserve"> Objetivou-se avaliar </w:t>
      </w:r>
      <w:r w:rsidR="00272669" w:rsidRPr="00272669">
        <w:rPr>
          <w:sz w:val="20"/>
          <w:szCs w:val="20"/>
        </w:rPr>
        <w:t>o efeito do ácido giberélico no desenvolvimento inicial de plântulas de romãzeira.</w:t>
      </w:r>
      <w:r w:rsidR="003747D4" w:rsidRPr="00272669">
        <w:rPr>
          <w:sz w:val="20"/>
          <w:szCs w:val="20"/>
        </w:rPr>
        <w:t xml:space="preserve"> O experimento foi conduzido no viveiro de produção de mudas do </w:t>
      </w:r>
      <w:r w:rsidR="00272669">
        <w:rPr>
          <w:sz w:val="20"/>
          <w:szCs w:val="20"/>
        </w:rPr>
        <w:t>IFES</w:t>
      </w:r>
      <w:r w:rsidR="003747D4" w:rsidRPr="00272669">
        <w:rPr>
          <w:sz w:val="20"/>
          <w:szCs w:val="20"/>
        </w:rPr>
        <w:t xml:space="preserve">, </w:t>
      </w:r>
      <w:r w:rsidR="00272669">
        <w:rPr>
          <w:sz w:val="20"/>
          <w:szCs w:val="20"/>
        </w:rPr>
        <w:t xml:space="preserve">semeadas em tubetes </w:t>
      </w:r>
      <w:r w:rsidR="003747D4" w:rsidRPr="00272669">
        <w:rPr>
          <w:sz w:val="20"/>
          <w:szCs w:val="20"/>
        </w:rPr>
        <w:t xml:space="preserve">280 mL, com substrato Terra+areia+composto orgânico (3:1:1).  Os tratamentos foram </w:t>
      </w:r>
      <w:r w:rsidR="00272669" w:rsidRPr="00272669">
        <w:rPr>
          <w:sz w:val="20"/>
          <w:szCs w:val="20"/>
        </w:rPr>
        <w:t xml:space="preserve">imersão por 30 minutos </w:t>
      </w:r>
      <w:proofErr w:type="gramStart"/>
      <w:r w:rsidR="00272669" w:rsidRPr="00272669">
        <w:rPr>
          <w:sz w:val="20"/>
          <w:szCs w:val="20"/>
        </w:rPr>
        <w:t>em  solução</w:t>
      </w:r>
      <w:proofErr w:type="gramEnd"/>
      <w:r w:rsidR="00272669" w:rsidRPr="00272669">
        <w:rPr>
          <w:sz w:val="20"/>
          <w:szCs w:val="20"/>
        </w:rPr>
        <w:t xml:space="preserve"> de giberelina 1000 mg.L</w:t>
      </w:r>
      <w:r w:rsidR="00272669" w:rsidRPr="00272669">
        <w:rPr>
          <w:sz w:val="20"/>
          <w:szCs w:val="20"/>
          <w:vertAlign w:val="superscript"/>
        </w:rPr>
        <w:t>-1</w:t>
      </w:r>
      <w:r w:rsidR="00272669" w:rsidRPr="00272669">
        <w:rPr>
          <w:sz w:val="20"/>
          <w:szCs w:val="20"/>
        </w:rPr>
        <w:t>, 2000 mg.L</w:t>
      </w:r>
      <w:r w:rsidR="00272669" w:rsidRPr="00272669">
        <w:rPr>
          <w:sz w:val="20"/>
          <w:szCs w:val="20"/>
          <w:vertAlign w:val="superscript"/>
        </w:rPr>
        <w:t>-1</w:t>
      </w:r>
      <w:r w:rsidR="00272669" w:rsidRPr="00272669">
        <w:rPr>
          <w:sz w:val="20"/>
          <w:szCs w:val="20"/>
        </w:rPr>
        <w:t>,  3000 mg.L</w:t>
      </w:r>
      <w:r w:rsidR="00272669" w:rsidRPr="00272669">
        <w:rPr>
          <w:sz w:val="20"/>
          <w:szCs w:val="20"/>
          <w:vertAlign w:val="superscript"/>
        </w:rPr>
        <w:t>-1</w:t>
      </w:r>
      <w:r w:rsidR="00272669" w:rsidRPr="00272669">
        <w:rPr>
          <w:sz w:val="20"/>
          <w:szCs w:val="20"/>
        </w:rPr>
        <w:t>, 4000 mg.L</w:t>
      </w:r>
      <w:r w:rsidR="00272669" w:rsidRPr="00272669">
        <w:rPr>
          <w:sz w:val="20"/>
          <w:szCs w:val="20"/>
          <w:vertAlign w:val="superscript"/>
        </w:rPr>
        <w:t>-1</w:t>
      </w:r>
      <w:r w:rsidR="00272669" w:rsidRPr="00272669">
        <w:rPr>
          <w:sz w:val="20"/>
          <w:szCs w:val="20"/>
        </w:rPr>
        <w:t>.</w:t>
      </w:r>
      <w:r w:rsidR="00272669">
        <w:rPr>
          <w:sz w:val="20"/>
          <w:szCs w:val="20"/>
        </w:rPr>
        <w:t xml:space="preserve"> </w:t>
      </w:r>
      <w:r w:rsidR="003747D4" w:rsidRPr="00272669">
        <w:rPr>
          <w:sz w:val="20"/>
          <w:szCs w:val="20"/>
        </w:rPr>
        <w:t xml:space="preserve">O experimento foi preparado em </w:t>
      </w:r>
      <w:r w:rsidR="00272669">
        <w:rPr>
          <w:sz w:val="20"/>
          <w:szCs w:val="20"/>
        </w:rPr>
        <w:t>DBC</w:t>
      </w:r>
      <w:r w:rsidR="003747D4" w:rsidRPr="00272669">
        <w:rPr>
          <w:sz w:val="20"/>
          <w:szCs w:val="20"/>
        </w:rPr>
        <w:t xml:space="preserve">, com cinco </w:t>
      </w:r>
      <w:r w:rsidR="00862950" w:rsidRPr="00272669">
        <w:rPr>
          <w:sz w:val="20"/>
          <w:szCs w:val="20"/>
        </w:rPr>
        <w:t>tratamentos e quatro repetições</w:t>
      </w:r>
      <w:r w:rsidR="003747D4" w:rsidRPr="00272669">
        <w:rPr>
          <w:sz w:val="20"/>
          <w:szCs w:val="20"/>
        </w:rPr>
        <w:t xml:space="preserve">. </w:t>
      </w:r>
      <w:r w:rsidR="00272669" w:rsidRPr="00272669">
        <w:rPr>
          <w:sz w:val="20"/>
          <w:szCs w:val="20"/>
        </w:rPr>
        <w:t xml:space="preserve">Sessenta dias após emergência da primeira plântula, </w:t>
      </w:r>
      <w:r w:rsidR="00272669">
        <w:rPr>
          <w:sz w:val="20"/>
          <w:szCs w:val="20"/>
        </w:rPr>
        <w:t>foram avaliados o número de folhas; diâmetro do coleto; comprimento da raiz</w:t>
      </w:r>
      <w:r w:rsidR="00272669" w:rsidRPr="00272669">
        <w:rPr>
          <w:sz w:val="20"/>
          <w:szCs w:val="20"/>
        </w:rPr>
        <w:t>; altura</w:t>
      </w:r>
      <w:r w:rsidR="00272669">
        <w:rPr>
          <w:sz w:val="20"/>
          <w:szCs w:val="20"/>
        </w:rPr>
        <w:t xml:space="preserve"> da parte aérea</w:t>
      </w:r>
      <w:r w:rsidR="00272669" w:rsidRPr="00272669">
        <w:rPr>
          <w:sz w:val="20"/>
          <w:szCs w:val="20"/>
        </w:rPr>
        <w:t>; m</w:t>
      </w:r>
      <w:r w:rsidR="00272669">
        <w:rPr>
          <w:sz w:val="20"/>
          <w:szCs w:val="20"/>
        </w:rPr>
        <w:t>assa verde e seca da parte aérea</w:t>
      </w:r>
      <w:r w:rsidR="00272669" w:rsidRPr="00272669">
        <w:rPr>
          <w:sz w:val="20"/>
          <w:szCs w:val="20"/>
        </w:rPr>
        <w:t>; massa verde</w:t>
      </w:r>
      <w:r w:rsidR="00272669">
        <w:rPr>
          <w:sz w:val="20"/>
          <w:szCs w:val="20"/>
        </w:rPr>
        <w:t xml:space="preserve"> e seca </w:t>
      </w:r>
      <w:r w:rsidR="00272669" w:rsidRPr="00272669">
        <w:rPr>
          <w:sz w:val="20"/>
          <w:szCs w:val="20"/>
        </w:rPr>
        <w:t xml:space="preserve">da raiz. O tratamento com ácido giberélico em sementes de romãzeira foi eficiente para melhorar o desenvolvimento inicial de plântulas, sendo a dosagem de GA3 2000 </w:t>
      </w:r>
      <w:proofErr w:type="gramStart"/>
      <w:r w:rsidR="00272669" w:rsidRPr="00272669">
        <w:rPr>
          <w:sz w:val="20"/>
          <w:szCs w:val="20"/>
        </w:rPr>
        <w:t>mg.L</w:t>
      </w:r>
      <w:proofErr w:type="gramEnd"/>
      <w:r w:rsidR="00272669" w:rsidRPr="00272669">
        <w:rPr>
          <w:sz w:val="20"/>
          <w:szCs w:val="20"/>
          <w:vertAlign w:val="superscript"/>
        </w:rPr>
        <w:t>-1</w:t>
      </w:r>
      <w:r w:rsidR="00272669" w:rsidRPr="00272669">
        <w:rPr>
          <w:sz w:val="20"/>
          <w:szCs w:val="20"/>
        </w:rPr>
        <w:t xml:space="preserve"> a</w:t>
      </w:r>
      <w:r w:rsidR="00272669" w:rsidRPr="00272669">
        <w:rPr>
          <w:kern w:val="28"/>
          <w:sz w:val="20"/>
          <w:szCs w:val="20"/>
        </w:rPr>
        <w:t xml:space="preserve"> recomendada para esta espécie.</w:t>
      </w:r>
    </w:p>
    <w:p w:rsidR="00222907" w:rsidRDefault="00222907" w:rsidP="00272669">
      <w:pPr>
        <w:pStyle w:val="SemEspaamento1"/>
        <w:ind w:firstLine="709"/>
        <w:jc w:val="both"/>
        <w:rPr>
          <w:b/>
          <w:sz w:val="20"/>
        </w:rPr>
      </w:pPr>
    </w:p>
    <w:p w:rsidR="00272669" w:rsidRDefault="00272669" w:rsidP="00272669">
      <w:pPr>
        <w:pStyle w:val="SemEspaamento1"/>
        <w:ind w:firstLine="709"/>
        <w:jc w:val="both"/>
        <w:rPr>
          <w:b/>
          <w:sz w:val="20"/>
        </w:rPr>
        <w:sectPr w:rsidR="00272669">
          <w:headerReference w:type="default" r:id="rId14"/>
          <w:footerReference w:type="default" r:id="rId15"/>
          <w:footnotePr>
            <w:pos w:val="beneathText"/>
          </w:footnotePr>
          <w:pgSz w:w="11905" w:h="16837"/>
          <w:pgMar w:top="2268" w:right="1134" w:bottom="1417" w:left="1417" w:header="624" w:footer="720" w:gutter="0"/>
          <w:cols w:space="720"/>
          <w:docGrid w:linePitch="360"/>
        </w:sectPr>
      </w:pPr>
    </w:p>
    <w:p w:rsidR="00862950" w:rsidRPr="00272669" w:rsidRDefault="00004629">
      <w:pPr>
        <w:rPr>
          <w:b/>
          <w:sz w:val="20"/>
          <w:szCs w:val="20"/>
        </w:rPr>
      </w:pPr>
      <w:r w:rsidRPr="00272669">
        <w:rPr>
          <w:b/>
          <w:sz w:val="20"/>
          <w:szCs w:val="20"/>
        </w:rPr>
        <w:t xml:space="preserve">PALAVRAS-CHAVE: </w:t>
      </w:r>
      <w:r w:rsidR="00246676">
        <w:rPr>
          <w:sz w:val="20"/>
          <w:szCs w:val="20"/>
        </w:rPr>
        <w:t>Tubete</w:t>
      </w:r>
      <w:r w:rsidR="00862950" w:rsidRPr="00272669">
        <w:rPr>
          <w:sz w:val="20"/>
          <w:szCs w:val="20"/>
        </w:rPr>
        <w:t>;</w:t>
      </w:r>
      <w:r w:rsidR="00862950" w:rsidRPr="00272669">
        <w:rPr>
          <w:b/>
          <w:sz w:val="20"/>
          <w:szCs w:val="20"/>
        </w:rPr>
        <w:t xml:space="preserve"> </w:t>
      </w:r>
      <w:r w:rsidR="00862950" w:rsidRPr="00272669">
        <w:rPr>
          <w:sz w:val="20"/>
          <w:szCs w:val="20"/>
        </w:rPr>
        <w:t>Fruteira;</w:t>
      </w:r>
      <w:r w:rsidR="00862950" w:rsidRPr="00272669">
        <w:rPr>
          <w:b/>
          <w:sz w:val="20"/>
          <w:szCs w:val="20"/>
        </w:rPr>
        <w:t xml:space="preserve"> </w:t>
      </w:r>
      <w:r w:rsidR="00272669" w:rsidRPr="00272669">
        <w:rPr>
          <w:i/>
          <w:sz w:val="20"/>
          <w:szCs w:val="20"/>
        </w:rPr>
        <w:t xml:space="preserve">Punica </w:t>
      </w:r>
      <w:proofErr w:type="spellStart"/>
      <w:r w:rsidR="00272669" w:rsidRPr="00272669">
        <w:rPr>
          <w:i/>
          <w:sz w:val="20"/>
          <w:szCs w:val="20"/>
        </w:rPr>
        <w:t>Granatum</w:t>
      </w:r>
      <w:proofErr w:type="spellEnd"/>
      <w:r w:rsidR="00272669" w:rsidRPr="00272669">
        <w:rPr>
          <w:sz w:val="20"/>
          <w:szCs w:val="20"/>
        </w:rPr>
        <w:t xml:space="preserve"> L</w:t>
      </w:r>
      <w:r w:rsidR="00272669" w:rsidRPr="00272669">
        <w:rPr>
          <w:i/>
          <w:sz w:val="20"/>
          <w:szCs w:val="20"/>
        </w:rPr>
        <w:t>.</w:t>
      </w:r>
      <w:r w:rsidR="00862950" w:rsidRPr="00272669">
        <w:rPr>
          <w:sz w:val="20"/>
          <w:szCs w:val="20"/>
        </w:rPr>
        <w:t>.</w:t>
      </w:r>
      <w:r w:rsidR="00862950" w:rsidRPr="00272669">
        <w:rPr>
          <w:b/>
          <w:sz w:val="20"/>
          <w:szCs w:val="20"/>
        </w:rPr>
        <w:t xml:space="preserve"> </w:t>
      </w:r>
    </w:p>
    <w:p w:rsidR="00862950" w:rsidRPr="00246676" w:rsidRDefault="00862950" w:rsidP="00862950">
      <w:pPr>
        <w:jc w:val="both"/>
        <w:rPr>
          <w:sz w:val="20"/>
          <w:lang w:val="en-US"/>
        </w:rPr>
      </w:pPr>
      <w:r w:rsidRPr="00862950">
        <w:rPr>
          <w:b/>
          <w:bCs/>
          <w:sz w:val="20"/>
          <w:lang w:val="en-US"/>
        </w:rPr>
        <w:t>KEYWORDS</w:t>
      </w:r>
      <w:r w:rsidRPr="00862950">
        <w:rPr>
          <w:sz w:val="20"/>
          <w:lang w:val="en-US"/>
        </w:rPr>
        <w:t xml:space="preserve">: </w:t>
      </w:r>
      <w:proofErr w:type="spellStart"/>
      <w:r w:rsidR="00246676">
        <w:rPr>
          <w:sz w:val="20"/>
          <w:lang w:val="en-US"/>
        </w:rPr>
        <w:t>Tubete</w:t>
      </w:r>
      <w:proofErr w:type="spellEnd"/>
      <w:r w:rsidR="00246676">
        <w:rPr>
          <w:sz w:val="20"/>
          <w:lang w:val="en-US"/>
        </w:rPr>
        <w:t xml:space="preserve">; Fruit bowl; </w:t>
      </w:r>
      <w:proofErr w:type="spellStart"/>
      <w:r w:rsidR="00246676" w:rsidRPr="00246676">
        <w:rPr>
          <w:i/>
          <w:sz w:val="20"/>
          <w:szCs w:val="20"/>
          <w:lang w:val="en-US"/>
        </w:rPr>
        <w:t>Punica</w:t>
      </w:r>
      <w:proofErr w:type="spellEnd"/>
      <w:r w:rsidR="00246676" w:rsidRPr="00246676">
        <w:rPr>
          <w:i/>
          <w:sz w:val="20"/>
          <w:szCs w:val="20"/>
          <w:lang w:val="en-US"/>
        </w:rPr>
        <w:t xml:space="preserve"> </w:t>
      </w:r>
      <w:proofErr w:type="spellStart"/>
      <w:r w:rsidR="00246676" w:rsidRPr="00246676">
        <w:rPr>
          <w:i/>
          <w:sz w:val="20"/>
          <w:szCs w:val="20"/>
          <w:lang w:val="en-US"/>
        </w:rPr>
        <w:t>Granatum</w:t>
      </w:r>
      <w:proofErr w:type="spellEnd"/>
      <w:r w:rsidR="00246676" w:rsidRPr="00246676">
        <w:rPr>
          <w:sz w:val="20"/>
          <w:szCs w:val="20"/>
          <w:lang w:val="en-US"/>
        </w:rPr>
        <w:t xml:space="preserve"> L</w:t>
      </w:r>
      <w:r w:rsidR="00246676" w:rsidRPr="00246676">
        <w:rPr>
          <w:i/>
          <w:sz w:val="20"/>
          <w:szCs w:val="20"/>
          <w:lang w:val="en-US"/>
        </w:rPr>
        <w:t>.</w:t>
      </w:r>
      <w:r w:rsidR="00246676" w:rsidRPr="00246676">
        <w:rPr>
          <w:sz w:val="20"/>
          <w:szCs w:val="20"/>
          <w:lang w:val="en-US"/>
        </w:rPr>
        <w:t>.</w:t>
      </w:r>
    </w:p>
    <w:p w:rsidR="00222907" w:rsidRPr="00862950" w:rsidRDefault="00004629">
      <w:pPr>
        <w:jc w:val="both"/>
        <w:rPr>
          <w:b/>
          <w:sz w:val="20"/>
        </w:rPr>
      </w:pPr>
      <w:r>
        <w:rPr>
          <w:b/>
          <w:sz w:val="20"/>
        </w:rPr>
        <w:t>SEÇÃO:</w:t>
      </w:r>
      <w:r w:rsidR="00862950">
        <w:rPr>
          <w:b/>
          <w:sz w:val="20"/>
        </w:rPr>
        <w:t xml:space="preserve"> </w:t>
      </w:r>
      <w:r w:rsidR="00D35866" w:rsidRPr="00D35866">
        <w:rPr>
          <w:sz w:val="20"/>
        </w:rPr>
        <w:t>Fitotecnia</w:t>
      </w:r>
    </w:p>
    <w:p w:rsidR="00862950" w:rsidRDefault="00862950">
      <w:pPr>
        <w:jc w:val="both"/>
        <w:rPr>
          <w:sz w:val="20"/>
        </w:rPr>
      </w:pPr>
    </w:p>
    <w:p w:rsidR="00CF4FA3" w:rsidRPr="00CF4FA3" w:rsidRDefault="00CF4FA3" w:rsidP="00BC6783">
      <w:pPr>
        <w:spacing w:after="0" w:line="240" w:lineRule="auto"/>
        <w:jc w:val="center"/>
        <w:rPr>
          <w:b/>
          <w:sz w:val="20"/>
          <w:szCs w:val="20"/>
        </w:rPr>
      </w:pPr>
      <w:r w:rsidRPr="00CF4FA3">
        <w:rPr>
          <w:b/>
          <w:sz w:val="20"/>
          <w:szCs w:val="20"/>
        </w:rPr>
        <w:t>INTRODUÇÃO</w:t>
      </w:r>
    </w:p>
    <w:p w:rsidR="00CF4FA3" w:rsidRPr="00CF4FA3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246676" w:rsidRPr="00246676" w:rsidRDefault="00246676" w:rsidP="00246676">
      <w:pPr>
        <w:spacing w:after="0" w:line="240" w:lineRule="auto"/>
        <w:ind w:firstLine="720"/>
        <w:jc w:val="both"/>
        <w:rPr>
          <w:sz w:val="20"/>
          <w:szCs w:val="20"/>
        </w:rPr>
      </w:pPr>
      <w:r w:rsidRPr="00246676">
        <w:rPr>
          <w:sz w:val="20"/>
          <w:szCs w:val="20"/>
        </w:rPr>
        <w:t>A romãzeira (</w:t>
      </w:r>
      <w:r w:rsidRPr="00246676">
        <w:rPr>
          <w:i/>
          <w:sz w:val="20"/>
          <w:szCs w:val="20"/>
        </w:rPr>
        <w:t xml:space="preserve">Punica </w:t>
      </w:r>
      <w:proofErr w:type="spellStart"/>
      <w:r w:rsidRPr="00246676">
        <w:rPr>
          <w:i/>
          <w:sz w:val="20"/>
          <w:szCs w:val="20"/>
        </w:rPr>
        <w:t>Granatum</w:t>
      </w:r>
      <w:proofErr w:type="spellEnd"/>
      <w:r w:rsidRPr="00246676">
        <w:rPr>
          <w:sz w:val="20"/>
          <w:szCs w:val="20"/>
        </w:rPr>
        <w:t xml:space="preserve"> L</w:t>
      </w:r>
      <w:r w:rsidRPr="00246676">
        <w:rPr>
          <w:i/>
          <w:sz w:val="20"/>
          <w:szCs w:val="20"/>
        </w:rPr>
        <w:t>.</w:t>
      </w:r>
      <w:r w:rsidRPr="00246676">
        <w:rPr>
          <w:sz w:val="20"/>
          <w:szCs w:val="20"/>
        </w:rPr>
        <w:t xml:space="preserve">), da família </w:t>
      </w:r>
      <w:proofErr w:type="spellStart"/>
      <w:r w:rsidRPr="00246676">
        <w:rPr>
          <w:sz w:val="20"/>
          <w:szCs w:val="20"/>
        </w:rPr>
        <w:t>Punicaceae</w:t>
      </w:r>
      <w:proofErr w:type="spellEnd"/>
      <w:r w:rsidRPr="00246676">
        <w:rPr>
          <w:sz w:val="20"/>
          <w:szCs w:val="20"/>
        </w:rPr>
        <w:t>, é uma frutífera cultivada com facilidade, onde tem sido utilizada também como planta ornamental, em parques e jardins, apresentando também propriedades medicinais (LOPES, et al</w:t>
      </w:r>
      <w:r>
        <w:rPr>
          <w:sz w:val="20"/>
          <w:szCs w:val="20"/>
        </w:rPr>
        <w:t>.</w:t>
      </w:r>
      <w:r w:rsidRPr="00246676">
        <w:rPr>
          <w:sz w:val="20"/>
          <w:szCs w:val="20"/>
        </w:rPr>
        <w:t xml:space="preserve">, 2001). 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sz w:val="20"/>
          <w:szCs w:val="20"/>
        </w:rPr>
      </w:pPr>
      <w:r w:rsidRPr="00246676">
        <w:rPr>
          <w:sz w:val="20"/>
          <w:szCs w:val="20"/>
        </w:rPr>
        <w:t xml:space="preserve">É uma fruteira exótica e cultivada no país desde os tempos coloniais, principalmente, em pomares domésticos, sendo originária da Pérsia (hoje Irã), onde foi domesticada há cerca de 2 mil anos </w:t>
      </w:r>
      <w:proofErr w:type="spellStart"/>
      <w:r w:rsidRPr="00246676">
        <w:rPr>
          <w:sz w:val="20"/>
          <w:szCs w:val="20"/>
        </w:rPr>
        <w:t>a.C</w:t>
      </w:r>
      <w:proofErr w:type="spellEnd"/>
      <w:r w:rsidRPr="00246676">
        <w:rPr>
          <w:sz w:val="20"/>
          <w:szCs w:val="20"/>
        </w:rPr>
        <w:t xml:space="preserve"> (FERRAZ et al</w:t>
      </w:r>
      <w:r>
        <w:rPr>
          <w:sz w:val="20"/>
          <w:szCs w:val="20"/>
        </w:rPr>
        <w:t>.</w:t>
      </w:r>
      <w:r w:rsidRPr="00246676">
        <w:rPr>
          <w:sz w:val="20"/>
          <w:szCs w:val="20"/>
        </w:rPr>
        <w:t>, 2016).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sz w:val="20"/>
          <w:szCs w:val="20"/>
        </w:rPr>
      </w:pPr>
      <w:r w:rsidRPr="00246676">
        <w:rPr>
          <w:sz w:val="20"/>
          <w:szCs w:val="20"/>
        </w:rPr>
        <w:t>Seus frutos são originados de um ovário ínfero e apresentam um pericarpo carnoso, onde suas sementes possuem um sarcotesta translúcida, onde por ser um material gelatinoso que envolve a semente, pode vir a comprometer a germinação, tornando esse proc</w:t>
      </w:r>
      <w:r>
        <w:rPr>
          <w:sz w:val="20"/>
          <w:szCs w:val="20"/>
        </w:rPr>
        <w:t>esso lento e desuniforme (LOPES</w:t>
      </w:r>
      <w:r w:rsidRPr="00246676">
        <w:rPr>
          <w:sz w:val="20"/>
          <w:szCs w:val="20"/>
        </w:rPr>
        <w:t xml:space="preserve"> et al, 2001).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sz w:val="20"/>
          <w:szCs w:val="20"/>
        </w:rPr>
      </w:pPr>
      <w:r w:rsidRPr="00246676">
        <w:rPr>
          <w:sz w:val="20"/>
          <w:szCs w:val="20"/>
        </w:rPr>
        <w:t>Além das propriedade</w:t>
      </w:r>
      <w:r w:rsidR="00C83133">
        <w:rPr>
          <w:sz w:val="20"/>
          <w:szCs w:val="20"/>
        </w:rPr>
        <w:t>s</w:t>
      </w:r>
      <w:r w:rsidRPr="00246676">
        <w:rPr>
          <w:sz w:val="20"/>
          <w:szCs w:val="20"/>
        </w:rPr>
        <w:t xml:space="preserve"> medicinais, os frutos da romã também podem ser consumidos, sendo que seu cultivo é promissor, principalmente em regiões áridas, pois são bastantes resistentes à seca. Logo, um dos grandes obstáculos do seu cultivo é a germinação de suas sementes (TAKATA, et al, 2014).</w:t>
      </w:r>
    </w:p>
    <w:p w:rsidR="00246676" w:rsidRPr="00246676" w:rsidRDefault="00246676" w:rsidP="00246676">
      <w:pPr>
        <w:spacing w:after="0" w:line="240" w:lineRule="auto"/>
        <w:jc w:val="both"/>
        <w:rPr>
          <w:sz w:val="20"/>
          <w:szCs w:val="20"/>
        </w:rPr>
      </w:pPr>
      <w:r w:rsidRPr="00246676">
        <w:rPr>
          <w:b/>
          <w:sz w:val="20"/>
          <w:szCs w:val="20"/>
        </w:rPr>
        <w:lastRenderedPageBreak/>
        <w:tab/>
      </w:r>
      <w:r w:rsidRPr="00246676">
        <w:rPr>
          <w:sz w:val="20"/>
          <w:szCs w:val="20"/>
        </w:rPr>
        <w:t xml:space="preserve">A ação das giberelinas (GAs) ou dos ácidos giberélicos no processo germinativo é bem conhecido, segundo </w:t>
      </w:r>
      <w:proofErr w:type="spellStart"/>
      <w:r w:rsidRPr="00246676">
        <w:rPr>
          <w:sz w:val="20"/>
          <w:szCs w:val="20"/>
        </w:rPr>
        <w:t>Metivier</w:t>
      </w:r>
      <w:proofErr w:type="spellEnd"/>
      <w:r w:rsidRPr="00246676">
        <w:rPr>
          <w:sz w:val="20"/>
          <w:szCs w:val="20"/>
        </w:rPr>
        <w:t xml:space="preserve"> (1979) as mesmas atuam no controle da hidrólise do tecido de reserva para o fornecimento de energia ao embrião, promovendo, de acordo com Salisbury &amp; Ross (1992) o alongamento celular, fazendo a radícula se desenvolva-se através do endosperma ou tegumento.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sz w:val="20"/>
          <w:szCs w:val="20"/>
        </w:rPr>
      </w:pPr>
      <w:r w:rsidRPr="00246676">
        <w:rPr>
          <w:sz w:val="20"/>
          <w:szCs w:val="20"/>
        </w:rPr>
        <w:t>Para que o processo de germinação ocorra de forma mais uniforme e com maior percentual possível, têm-se alguns procedimentos que podem ser adotados nas sementes, como a identificação adequada de temperatura ambiente, a aplicação de reguladores vegetais (FERRARI et al., 2008), e o uso de técnicas para acelerar a embebição da semente.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b/>
          <w:sz w:val="20"/>
          <w:szCs w:val="20"/>
        </w:rPr>
      </w:pPr>
      <w:r w:rsidRPr="00246676">
        <w:rPr>
          <w:sz w:val="20"/>
          <w:szCs w:val="20"/>
        </w:rPr>
        <w:t>Segundo Ferreira et al. (2005), a giberelina (GA3) é o principal hormônio envolvido com a germinação, atuando de forma a estimular a síntese de enzimas como alfa-amilase, permitindo a quebra do amido e consequente liberação de energia e posteriormente a retomada do crescimento do embrião, gerando em seguida a protusão da radícula. Rossetto et al</w:t>
      </w:r>
      <w:r w:rsidRPr="00246676">
        <w:rPr>
          <w:i/>
          <w:sz w:val="20"/>
          <w:szCs w:val="20"/>
        </w:rPr>
        <w:t>.</w:t>
      </w:r>
      <w:r w:rsidRPr="00246676">
        <w:rPr>
          <w:sz w:val="20"/>
          <w:szCs w:val="20"/>
        </w:rPr>
        <w:t xml:space="preserve"> (2000) testando influência da pré-embebição de sementes de maracujá-doce (</w:t>
      </w:r>
      <w:r w:rsidRPr="00246676">
        <w:rPr>
          <w:i/>
          <w:sz w:val="20"/>
          <w:szCs w:val="20"/>
        </w:rPr>
        <w:t xml:space="preserve">P. </w:t>
      </w:r>
      <w:proofErr w:type="spellStart"/>
      <w:r w:rsidRPr="00246676">
        <w:rPr>
          <w:i/>
          <w:sz w:val="20"/>
          <w:szCs w:val="20"/>
        </w:rPr>
        <w:t>alata</w:t>
      </w:r>
      <w:proofErr w:type="spellEnd"/>
      <w:r w:rsidRPr="00246676">
        <w:rPr>
          <w:sz w:val="20"/>
          <w:szCs w:val="20"/>
        </w:rPr>
        <w:t xml:space="preserve">) em soluções de GA3 concluíram que as concentrações de 300 e 150 </w:t>
      </w:r>
      <w:proofErr w:type="gramStart"/>
      <w:r w:rsidRPr="00246676">
        <w:rPr>
          <w:sz w:val="20"/>
          <w:szCs w:val="20"/>
        </w:rPr>
        <w:t>mg.L</w:t>
      </w:r>
      <w:proofErr w:type="gramEnd"/>
      <w:r w:rsidRPr="00246676">
        <w:rPr>
          <w:sz w:val="20"/>
          <w:szCs w:val="20"/>
          <w:vertAlign w:val="superscript"/>
        </w:rPr>
        <w:t>-1</w:t>
      </w:r>
      <w:r w:rsidRPr="00246676">
        <w:rPr>
          <w:sz w:val="20"/>
          <w:szCs w:val="20"/>
        </w:rPr>
        <w:t xml:space="preserve"> de GA3 proporcionaram melhores resultados, com maior percentual e índice de germinação. Passos et al. (2004) avaliando a melhor concentração de GA3 em sementes de </w:t>
      </w:r>
      <w:r w:rsidRPr="00246676">
        <w:rPr>
          <w:i/>
          <w:sz w:val="20"/>
          <w:szCs w:val="20"/>
        </w:rPr>
        <w:t>P. nítida</w:t>
      </w:r>
      <w:r w:rsidRPr="00246676">
        <w:rPr>
          <w:sz w:val="20"/>
          <w:szCs w:val="20"/>
        </w:rPr>
        <w:t xml:space="preserve"> puderam verificar que a concentração de 1000 </w:t>
      </w:r>
      <w:proofErr w:type="gramStart"/>
      <w:r w:rsidRPr="00246676">
        <w:rPr>
          <w:sz w:val="20"/>
          <w:szCs w:val="20"/>
        </w:rPr>
        <w:t>mg.L</w:t>
      </w:r>
      <w:proofErr w:type="gramEnd"/>
      <w:r w:rsidRPr="00246676">
        <w:rPr>
          <w:sz w:val="20"/>
          <w:szCs w:val="20"/>
          <w:vertAlign w:val="superscript"/>
        </w:rPr>
        <w:t>-1</w:t>
      </w:r>
      <w:r w:rsidRPr="00246676">
        <w:rPr>
          <w:sz w:val="20"/>
          <w:szCs w:val="20"/>
        </w:rPr>
        <w:t xml:space="preserve"> foi a que proporcionou maior percentual de germinação. Entretanto, para </w:t>
      </w:r>
      <w:r w:rsidRPr="00246676">
        <w:rPr>
          <w:i/>
          <w:sz w:val="20"/>
          <w:szCs w:val="20"/>
        </w:rPr>
        <w:t>Amburana cearensis</w:t>
      </w:r>
      <w:r w:rsidRPr="00246676">
        <w:rPr>
          <w:sz w:val="20"/>
          <w:szCs w:val="20"/>
        </w:rPr>
        <w:t xml:space="preserve"> faltam estas informações básicas para obter de forma eficiente sementes germinadas que proporcionaram mudas de qualidade.</w:t>
      </w:r>
    </w:p>
    <w:p w:rsidR="00246676" w:rsidRPr="00246676" w:rsidRDefault="00246676" w:rsidP="00246676">
      <w:pPr>
        <w:spacing w:after="0" w:line="240" w:lineRule="auto"/>
        <w:jc w:val="both"/>
        <w:rPr>
          <w:sz w:val="20"/>
          <w:szCs w:val="20"/>
        </w:rPr>
      </w:pPr>
      <w:r w:rsidRPr="00246676">
        <w:rPr>
          <w:b/>
          <w:sz w:val="20"/>
          <w:szCs w:val="20"/>
        </w:rPr>
        <w:t xml:space="preserve"> </w:t>
      </w:r>
      <w:r w:rsidRPr="00246676">
        <w:rPr>
          <w:sz w:val="20"/>
          <w:szCs w:val="20"/>
        </w:rPr>
        <w:tab/>
        <w:t xml:space="preserve">O objetivo da pesquisa foi testar diferentes dozes de giberelina GA3, na emergência de plântulas de </w:t>
      </w:r>
      <w:r>
        <w:rPr>
          <w:sz w:val="20"/>
          <w:szCs w:val="20"/>
        </w:rPr>
        <w:t>r</w:t>
      </w:r>
      <w:r w:rsidRPr="00246676">
        <w:rPr>
          <w:sz w:val="20"/>
          <w:szCs w:val="20"/>
        </w:rPr>
        <w:t>omãzeira.</w:t>
      </w:r>
    </w:p>
    <w:p w:rsidR="00CF4FA3" w:rsidRPr="00CF4FA3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CF4FA3" w:rsidRPr="00CF4FA3" w:rsidRDefault="00CF4FA3" w:rsidP="00BC6783">
      <w:pPr>
        <w:spacing w:after="0" w:line="240" w:lineRule="auto"/>
        <w:jc w:val="center"/>
        <w:rPr>
          <w:b/>
          <w:sz w:val="20"/>
          <w:szCs w:val="20"/>
        </w:rPr>
      </w:pPr>
      <w:r w:rsidRPr="00CF4FA3">
        <w:rPr>
          <w:b/>
          <w:sz w:val="20"/>
          <w:szCs w:val="20"/>
        </w:rPr>
        <w:t>MATERIAL E MÉTODOS</w:t>
      </w:r>
    </w:p>
    <w:p w:rsidR="00CF4FA3" w:rsidRPr="00CF4FA3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CF4FA3" w:rsidRPr="00246676" w:rsidRDefault="00CF4FA3" w:rsidP="00CF4FA3">
      <w:pPr>
        <w:pStyle w:val="Pa10"/>
        <w:spacing w:before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46676">
        <w:rPr>
          <w:rFonts w:ascii="Times New Roman" w:hAnsi="Times New Roman"/>
          <w:sz w:val="20"/>
          <w:szCs w:val="20"/>
        </w:rPr>
        <w:t>O experimento foi conduzido no viveiro de produção de mudas, coberto com tela de poliolefina com 50% de sombreamento, situado no setor de fruticultura do Instituto Federal do Espírito Santo (Ifes-Campus Santa Teresa), no período de janeiro de 2017 a dezembro de 2017, localizado na meso região Central Espírito-Santense, município de Santa Teresa-ES, coordenadas geográficas (19</w:t>
      </w:r>
      <w:r w:rsidRPr="00246676">
        <w:rPr>
          <w:rFonts w:ascii="Times New Roman" w:hAnsi="Times New Roman"/>
          <w:sz w:val="20"/>
          <w:szCs w:val="20"/>
          <w:vertAlign w:val="superscript"/>
        </w:rPr>
        <w:t>o</w:t>
      </w:r>
      <w:r w:rsidRPr="00246676">
        <w:rPr>
          <w:rFonts w:ascii="Times New Roman" w:hAnsi="Times New Roman"/>
          <w:sz w:val="20"/>
          <w:szCs w:val="20"/>
        </w:rPr>
        <w:t xml:space="preserve">48’21”S, e 40º40’44”W), altitude de 155 metros. O clima da região caracteriza-se como </w:t>
      </w:r>
      <w:proofErr w:type="spellStart"/>
      <w:r w:rsidRPr="00246676">
        <w:rPr>
          <w:rFonts w:ascii="Times New Roman" w:hAnsi="Times New Roman"/>
          <w:sz w:val="20"/>
          <w:szCs w:val="20"/>
        </w:rPr>
        <w:t>Cwa</w:t>
      </w:r>
      <w:proofErr w:type="spellEnd"/>
      <w:r w:rsidRPr="00246676">
        <w:rPr>
          <w:rFonts w:ascii="Times New Roman" w:hAnsi="Times New Roman"/>
          <w:sz w:val="20"/>
          <w:szCs w:val="20"/>
        </w:rPr>
        <w:t>, mesotérmico, com estação seca no inverno e forte pluviosidade no verão (classifi</w:t>
      </w:r>
      <w:r w:rsidRPr="00246676">
        <w:rPr>
          <w:rFonts w:ascii="Times New Roman" w:hAnsi="Times New Roman"/>
          <w:sz w:val="20"/>
          <w:szCs w:val="20"/>
        </w:rPr>
        <w:softHyphen/>
        <w:t xml:space="preserve">cação de </w:t>
      </w:r>
      <w:proofErr w:type="spellStart"/>
      <w:r w:rsidRPr="00246676">
        <w:rPr>
          <w:rFonts w:ascii="Times New Roman" w:hAnsi="Times New Roman"/>
          <w:sz w:val="20"/>
          <w:szCs w:val="20"/>
        </w:rPr>
        <w:t>Köppen</w:t>
      </w:r>
      <w:proofErr w:type="spellEnd"/>
      <w:r w:rsidRPr="00246676">
        <w:rPr>
          <w:rFonts w:ascii="Times New Roman" w:hAnsi="Times New Roman"/>
          <w:sz w:val="20"/>
          <w:szCs w:val="20"/>
        </w:rPr>
        <w:t>), com precipitação anual média de 1.404,2 mm e temperatura média anual local de 24°C, com máxima de 32,8 °C e mínima de 10,6 °C (I</w:t>
      </w:r>
      <w:r w:rsidR="005D3995" w:rsidRPr="00246676">
        <w:rPr>
          <w:rFonts w:ascii="Times New Roman" w:hAnsi="Times New Roman"/>
          <w:sz w:val="20"/>
          <w:szCs w:val="20"/>
        </w:rPr>
        <w:t>NCAPER,</w:t>
      </w:r>
      <w:r w:rsidRPr="00246676">
        <w:rPr>
          <w:rFonts w:ascii="Times New Roman" w:hAnsi="Times New Roman"/>
          <w:sz w:val="20"/>
          <w:szCs w:val="20"/>
        </w:rPr>
        <w:t xml:space="preserve"> 2011).</w:t>
      </w:r>
    </w:p>
    <w:p w:rsidR="00246676" w:rsidRPr="00246676" w:rsidRDefault="00246676" w:rsidP="00246676">
      <w:pPr>
        <w:pStyle w:val="SemEspaamento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6676">
        <w:rPr>
          <w:rFonts w:ascii="Times New Roman" w:hAnsi="Times New Roman" w:cs="Times New Roman"/>
          <w:sz w:val="20"/>
          <w:szCs w:val="20"/>
        </w:rPr>
        <w:t>Foram utilizadas sementes de romãzeira (</w:t>
      </w:r>
      <w:r w:rsidRPr="00246676">
        <w:rPr>
          <w:rFonts w:ascii="Times New Roman" w:hAnsi="Times New Roman" w:cs="Times New Roman"/>
          <w:i/>
          <w:sz w:val="20"/>
          <w:szCs w:val="20"/>
        </w:rPr>
        <w:t xml:space="preserve">Punica </w:t>
      </w:r>
      <w:proofErr w:type="spellStart"/>
      <w:r w:rsidRPr="00246676">
        <w:rPr>
          <w:rFonts w:ascii="Times New Roman" w:hAnsi="Times New Roman" w:cs="Times New Roman"/>
          <w:i/>
          <w:sz w:val="20"/>
          <w:szCs w:val="20"/>
        </w:rPr>
        <w:t>Granatum</w:t>
      </w:r>
      <w:proofErr w:type="spellEnd"/>
      <w:r w:rsidRPr="00246676">
        <w:rPr>
          <w:rFonts w:ascii="Times New Roman" w:hAnsi="Times New Roman" w:cs="Times New Roman"/>
          <w:sz w:val="20"/>
          <w:szCs w:val="20"/>
        </w:rPr>
        <w:t xml:space="preserve"> L</w:t>
      </w:r>
      <w:r w:rsidRPr="00246676">
        <w:rPr>
          <w:rFonts w:ascii="Times New Roman" w:hAnsi="Times New Roman" w:cs="Times New Roman"/>
          <w:i/>
          <w:sz w:val="20"/>
          <w:szCs w:val="20"/>
        </w:rPr>
        <w:t>.</w:t>
      </w:r>
      <w:r w:rsidRPr="00246676">
        <w:rPr>
          <w:rFonts w:ascii="Times New Roman" w:hAnsi="Times New Roman" w:cs="Times New Roman"/>
          <w:sz w:val="20"/>
          <w:szCs w:val="20"/>
        </w:rPr>
        <w:t xml:space="preserve">) colhidas na região do instituto, semeadas em tubetes, capacidade 280 mL, com substrato Terra+areia+composto orgânico (3:1:1), onde testou-se diferentes doses de ácido giberélico (giberelina, GA3) para estímulo  </w:t>
      </w:r>
      <w:r>
        <w:rPr>
          <w:rFonts w:ascii="Times New Roman" w:hAnsi="Times New Roman" w:cs="Times New Roman"/>
          <w:sz w:val="20"/>
          <w:szCs w:val="20"/>
        </w:rPr>
        <w:t>ao desenvolvimento das plântulas</w:t>
      </w:r>
      <w:r w:rsidRPr="00246676">
        <w:rPr>
          <w:rFonts w:ascii="Times New Roman" w:hAnsi="Times New Roman" w:cs="Times New Roman"/>
          <w:sz w:val="20"/>
          <w:szCs w:val="20"/>
        </w:rPr>
        <w:t>, sendo elas: imersão em água  natural por 30 minutos (testemunha), imersão por 30 minutos em  solução de giberelina 1000 mg.L</w:t>
      </w:r>
      <w:r w:rsidRPr="0024667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246676">
        <w:rPr>
          <w:rFonts w:ascii="Times New Roman" w:hAnsi="Times New Roman" w:cs="Times New Roman"/>
          <w:sz w:val="20"/>
          <w:szCs w:val="20"/>
        </w:rPr>
        <w:t>, solução de giberelina 2000 mg.L</w:t>
      </w:r>
      <w:r w:rsidRPr="0024667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246676">
        <w:rPr>
          <w:rFonts w:ascii="Times New Roman" w:hAnsi="Times New Roman" w:cs="Times New Roman"/>
          <w:sz w:val="20"/>
          <w:szCs w:val="20"/>
        </w:rPr>
        <w:t>,  solução de giberelina 3000 mg.L</w:t>
      </w:r>
      <w:r w:rsidRPr="0024667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246676">
        <w:rPr>
          <w:rFonts w:ascii="Times New Roman" w:hAnsi="Times New Roman" w:cs="Times New Roman"/>
          <w:sz w:val="20"/>
          <w:szCs w:val="20"/>
        </w:rPr>
        <w:t>, solução de giberelina 4000 mg.L</w:t>
      </w:r>
      <w:r w:rsidRPr="0024667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246676">
        <w:rPr>
          <w:rFonts w:ascii="Times New Roman" w:hAnsi="Times New Roman" w:cs="Times New Roman"/>
          <w:sz w:val="20"/>
          <w:szCs w:val="20"/>
        </w:rPr>
        <w:t>.</w:t>
      </w:r>
    </w:p>
    <w:p w:rsidR="00246676" w:rsidRPr="00246676" w:rsidRDefault="00246676" w:rsidP="00246676">
      <w:pPr>
        <w:spacing w:after="0" w:line="240" w:lineRule="auto"/>
        <w:ind w:firstLine="709"/>
        <w:jc w:val="both"/>
        <w:rPr>
          <w:sz w:val="20"/>
          <w:szCs w:val="20"/>
        </w:rPr>
      </w:pPr>
      <w:r w:rsidRPr="00246676">
        <w:rPr>
          <w:sz w:val="20"/>
          <w:szCs w:val="20"/>
        </w:rPr>
        <w:t xml:space="preserve">O experimento foi preparado em quatro blocos casualizados (DBC), com cinco tratamentos e quatro repetições, sendo que cada unidade experimental foi composta por </w:t>
      </w:r>
      <w:r>
        <w:rPr>
          <w:sz w:val="20"/>
          <w:szCs w:val="20"/>
        </w:rPr>
        <w:t>cinquenta</w:t>
      </w:r>
      <w:r w:rsidRPr="00246676">
        <w:rPr>
          <w:sz w:val="20"/>
          <w:szCs w:val="20"/>
        </w:rPr>
        <w:t xml:space="preserve"> sementes.</w:t>
      </w:r>
    </w:p>
    <w:p w:rsidR="00246676" w:rsidRPr="00246676" w:rsidRDefault="00246676" w:rsidP="00246676">
      <w:pPr>
        <w:pStyle w:val="SemEspaamento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6676">
        <w:rPr>
          <w:rFonts w:ascii="Times New Roman" w:hAnsi="Times New Roman" w:cs="Times New Roman"/>
          <w:sz w:val="20"/>
          <w:szCs w:val="20"/>
        </w:rPr>
        <w:t>Sessenta dias após emergência da primeira plântula, foram avaliadas as variáveis: número de folhas (NF); diâmetro do coleto (DC); comprimento da raiz (CR); altura da parte aérea (AP); massa verde da parte aérea (MVA); massa seca da parte aérea (MSA); massa verde da raiz (MVR); massa seca da raiz (MSR), sendo selecionadas dez plantas por tratamento em cada bloco.</w:t>
      </w:r>
    </w:p>
    <w:p w:rsidR="00246676" w:rsidRPr="00246676" w:rsidRDefault="00246676" w:rsidP="00246676">
      <w:pPr>
        <w:pStyle w:val="SemEspaamento1"/>
        <w:ind w:firstLine="709"/>
        <w:jc w:val="both"/>
        <w:rPr>
          <w:rFonts w:ascii="Times New Roman" w:hAnsi="Times New Roman"/>
          <w:sz w:val="20"/>
          <w:szCs w:val="20"/>
        </w:rPr>
      </w:pPr>
      <w:r w:rsidRPr="00246676">
        <w:rPr>
          <w:rFonts w:ascii="Times New Roman" w:eastAsia="Calibri" w:hAnsi="Times New Roman"/>
          <w:sz w:val="20"/>
          <w:szCs w:val="20"/>
        </w:rPr>
        <w:t>Os dados experimentais foram submetidos aos testes de Shapiro-</w:t>
      </w:r>
      <w:proofErr w:type="spellStart"/>
      <w:r w:rsidRPr="00246676">
        <w:rPr>
          <w:rFonts w:ascii="Times New Roman" w:eastAsia="Calibri" w:hAnsi="Times New Roman"/>
          <w:sz w:val="20"/>
          <w:szCs w:val="20"/>
        </w:rPr>
        <w:t>Wilks</w:t>
      </w:r>
      <w:proofErr w:type="spellEnd"/>
      <w:r w:rsidRPr="00246676">
        <w:rPr>
          <w:rFonts w:ascii="Times New Roman" w:eastAsia="Calibri" w:hAnsi="Times New Roman"/>
          <w:sz w:val="20"/>
          <w:szCs w:val="20"/>
        </w:rPr>
        <w:t xml:space="preserve"> (p&lt;0,05), para verificação da normalidade e</w:t>
      </w:r>
      <w:r w:rsidRPr="00246676">
        <w:rPr>
          <w:rFonts w:ascii="Times New Roman" w:hAnsi="Times New Roman"/>
          <w:sz w:val="20"/>
          <w:szCs w:val="20"/>
        </w:rPr>
        <w:t xml:space="preserve"> à análise de variância, sendo as médias de cada característica comparadas pelo teste de Tukey em nível de 5% de probabilidade com auxilio do programa R.</w:t>
      </w:r>
    </w:p>
    <w:p w:rsidR="00CF4FA3" w:rsidRPr="00CF4FA3" w:rsidRDefault="00CF4FA3" w:rsidP="00CF4FA3">
      <w:pPr>
        <w:spacing w:after="0" w:line="240" w:lineRule="auto"/>
        <w:rPr>
          <w:b/>
          <w:sz w:val="20"/>
          <w:szCs w:val="20"/>
        </w:rPr>
      </w:pPr>
    </w:p>
    <w:p w:rsidR="00CF4FA3" w:rsidRPr="00CF4FA3" w:rsidRDefault="00CF4FA3" w:rsidP="00BC6783">
      <w:pPr>
        <w:spacing w:after="0" w:line="240" w:lineRule="auto"/>
        <w:jc w:val="center"/>
        <w:rPr>
          <w:b/>
          <w:sz w:val="20"/>
          <w:szCs w:val="20"/>
        </w:rPr>
      </w:pPr>
      <w:r w:rsidRPr="00CF4FA3">
        <w:rPr>
          <w:b/>
          <w:sz w:val="20"/>
          <w:szCs w:val="20"/>
        </w:rPr>
        <w:t>RESULTADOS E DISCUSSÃO</w:t>
      </w:r>
    </w:p>
    <w:p w:rsidR="00CF4FA3" w:rsidRPr="00CF4FA3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246676" w:rsidRPr="00246676" w:rsidRDefault="00CF4FA3" w:rsidP="00246676">
      <w:pPr>
        <w:spacing w:after="0" w:line="240" w:lineRule="auto"/>
        <w:jc w:val="both"/>
        <w:rPr>
          <w:sz w:val="20"/>
          <w:szCs w:val="20"/>
        </w:rPr>
      </w:pPr>
      <w:r w:rsidRPr="00246676">
        <w:rPr>
          <w:sz w:val="20"/>
          <w:szCs w:val="20"/>
        </w:rPr>
        <w:tab/>
        <w:t xml:space="preserve"> </w:t>
      </w:r>
      <w:r w:rsidR="00246676" w:rsidRPr="00246676">
        <w:rPr>
          <w:sz w:val="20"/>
          <w:szCs w:val="20"/>
        </w:rPr>
        <w:t xml:space="preserve">De acordo com a tabela 1, podemos observar que o tratamento com solução de giberelina 2000 </w:t>
      </w:r>
      <w:proofErr w:type="gramStart"/>
      <w:r w:rsidR="00246676" w:rsidRPr="00246676">
        <w:rPr>
          <w:sz w:val="20"/>
          <w:szCs w:val="20"/>
        </w:rPr>
        <w:t>mg.L</w:t>
      </w:r>
      <w:proofErr w:type="gramEnd"/>
      <w:r w:rsidR="00246676" w:rsidRPr="00246676">
        <w:rPr>
          <w:sz w:val="20"/>
          <w:szCs w:val="20"/>
          <w:vertAlign w:val="superscript"/>
        </w:rPr>
        <w:t>-1</w:t>
      </w:r>
      <w:r w:rsidR="00246676" w:rsidRPr="00246676">
        <w:rPr>
          <w:sz w:val="20"/>
          <w:szCs w:val="20"/>
        </w:rPr>
        <w:t xml:space="preserve"> apresentou o melhor índice para o desenvolvimento das plântulas. Os tratamentos com giberelina atuaram melhorando o desenvolvimento das plântulas de romãzeira, sendo que apenas o tratamento com GA3 1000 </w:t>
      </w:r>
      <w:proofErr w:type="gramStart"/>
      <w:r w:rsidR="00246676" w:rsidRPr="00246676">
        <w:rPr>
          <w:sz w:val="20"/>
          <w:szCs w:val="20"/>
        </w:rPr>
        <w:t>mg.L</w:t>
      </w:r>
      <w:proofErr w:type="gramEnd"/>
      <w:r w:rsidR="00246676" w:rsidRPr="00246676">
        <w:rPr>
          <w:sz w:val="20"/>
          <w:szCs w:val="20"/>
          <w:vertAlign w:val="superscript"/>
        </w:rPr>
        <w:t>-1</w:t>
      </w:r>
      <w:r w:rsidR="00246676" w:rsidRPr="00246676">
        <w:rPr>
          <w:sz w:val="20"/>
          <w:szCs w:val="20"/>
        </w:rPr>
        <w:t xml:space="preserve"> apresentou resultados inferiores à testemunha.</w:t>
      </w:r>
    </w:p>
    <w:p w:rsidR="00246676" w:rsidRPr="00246676" w:rsidRDefault="00246676" w:rsidP="00246676">
      <w:pPr>
        <w:spacing w:after="0" w:line="240" w:lineRule="auto"/>
        <w:jc w:val="both"/>
        <w:rPr>
          <w:sz w:val="20"/>
          <w:szCs w:val="20"/>
        </w:rPr>
      </w:pPr>
      <w:r w:rsidRPr="00246676">
        <w:rPr>
          <w:sz w:val="20"/>
          <w:szCs w:val="20"/>
        </w:rPr>
        <w:tab/>
        <w:t>Na avaliação da altura da planta, número de folhas, diâmetro do coleto e comprimento da raiz, podemos observar que o tratamento com GA3 2000 mg.L</w:t>
      </w:r>
      <w:r w:rsidRPr="00246676">
        <w:rPr>
          <w:sz w:val="20"/>
          <w:szCs w:val="20"/>
          <w:vertAlign w:val="superscript"/>
        </w:rPr>
        <w:t xml:space="preserve">-1 </w:t>
      </w:r>
      <w:r w:rsidRPr="00246676">
        <w:rPr>
          <w:sz w:val="20"/>
          <w:szCs w:val="20"/>
        </w:rPr>
        <w:t>apresentou os melhores resultados, seguido dos tratamentos com GA3 3000 mg.L</w:t>
      </w:r>
      <w:r w:rsidRPr="00246676">
        <w:rPr>
          <w:sz w:val="20"/>
          <w:szCs w:val="20"/>
          <w:vertAlign w:val="superscript"/>
        </w:rPr>
        <w:t xml:space="preserve">-1 </w:t>
      </w:r>
      <w:r w:rsidRPr="00246676">
        <w:rPr>
          <w:sz w:val="20"/>
          <w:szCs w:val="20"/>
        </w:rPr>
        <w:t>e GA3 4000 mg.L</w:t>
      </w:r>
      <w:r w:rsidRPr="00246676">
        <w:rPr>
          <w:sz w:val="20"/>
          <w:szCs w:val="20"/>
          <w:vertAlign w:val="superscript"/>
        </w:rPr>
        <w:t>-1</w:t>
      </w:r>
      <w:r w:rsidRPr="00246676">
        <w:rPr>
          <w:sz w:val="20"/>
          <w:szCs w:val="20"/>
        </w:rPr>
        <w:t xml:space="preserve"> com diferença estatística para número de folhas e comprimento da raiz, sendo superior a testemunha também na altura da planta.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proofErr w:type="spellStart"/>
      <w:r w:rsidRPr="00246676">
        <w:rPr>
          <w:sz w:val="20"/>
          <w:szCs w:val="20"/>
        </w:rPr>
        <w:lastRenderedPageBreak/>
        <w:t>Takata</w:t>
      </w:r>
      <w:proofErr w:type="spellEnd"/>
      <w:r w:rsidRPr="00246676">
        <w:rPr>
          <w:sz w:val="20"/>
          <w:szCs w:val="20"/>
        </w:rPr>
        <w:t>, et al, (2014) concluíram que a</w:t>
      </w:r>
      <w:r w:rsidRPr="00246676">
        <w:rPr>
          <w:color w:val="000000"/>
          <w:sz w:val="20"/>
          <w:szCs w:val="20"/>
          <w:shd w:val="clear" w:color="auto" w:fill="FFFFFF"/>
        </w:rPr>
        <w:t xml:space="preserve"> imersão das sementes de romãzeira (</w:t>
      </w:r>
      <w:r w:rsidRPr="00246676">
        <w:rPr>
          <w:i/>
          <w:iCs/>
          <w:color w:val="000000"/>
          <w:sz w:val="20"/>
          <w:szCs w:val="20"/>
          <w:shd w:val="clear" w:color="auto" w:fill="FFFFFF"/>
        </w:rPr>
        <w:t xml:space="preserve">Punica </w:t>
      </w:r>
      <w:proofErr w:type="spellStart"/>
      <w:r w:rsidRPr="00246676">
        <w:rPr>
          <w:i/>
          <w:iCs/>
          <w:color w:val="000000"/>
          <w:sz w:val="20"/>
          <w:szCs w:val="20"/>
          <w:shd w:val="clear" w:color="auto" w:fill="FFFFFF"/>
        </w:rPr>
        <w:t>granatum</w:t>
      </w:r>
      <w:proofErr w:type="spellEnd"/>
      <w:r w:rsidRPr="00246676">
        <w:rPr>
          <w:color w:val="000000"/>
          <w:sz w:val="20"/>
          <w:szCs w:val="20"/>
          <w:shd w:val="clear" w:color="auto" w:fill="FFFFFF"/>
        </w:rPr>
        <w:t>) em água apresenta-se como método eficaz para o processo germinativo, demonstrando não haver necessidade da utilização de giberelina, porém neste trabalho, as concentrações utilizadas foram muito baixas, fazendo com que a GA3 não atuasse de forma positiva para estas sementes.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sz w:val="20"/>
          <w:szCs w:val="20"/>
        </w:rPr>
      </w:pPr>
      <w:r w:rsidRPr="00246676">
        <w:rPr>
          <w:color w:val="000000"/>
          <w:sz w:val="20"/>
          <w:szCs w:val="20"/>
          <w:shd w:val="clear" w:color="auto" w:fill="FFFFFF"/>
        </w:rPr>
        <w:t xml:space="preserve">Na avaliação de massa verde e seca das folhas e da raiz, podemos observar que o tratamento </w:t>
      </w:r>
      <w:r w:rsidRPr="00246676">
        <w:rPr>
          <w:sz w:val="20"/>
          <w:szCs w:val="20"/>
        </w:rPr>
        <w:t xml:space="preserve">GA3 2000 </w:t>
      </w:r>
      <w:proofErr w:type="gramStart"/>
      <w:r w:rsidRPr="00246676">
        <w:rPr>
          <w:sz w:val="20"/>
          <w:szCs w:val="20"/>
        </w:rPr>
        <w:t>mg.L</w:t>
      </w:r>
      <w:proofErr w:type="gramEnd"/>
      <w:r w:rsidRPr="00246676">
        <w:rPr>
          <w:sz w:val="20"/>
          <w:szCs w:val="20"/>
          <w:vertAlign w:val="superscript"/>
        </w:rPr>
        <w:t xml:space="preserve">-1 </w:t>
      </w:r>
      <w:r w:rsidRPr="00246676">
        <w:rPr>
          <w:sz w:val="20"/>
          <w:szCs w:val="20"/>
        </w:rPr>
        <w:t xml:space="preserve">apresentou resultado superior a todos os tratamentos, com diferença estatística para a testemunha. O aumento da concentração de giberelina teve efeito positivo até 2000 </w:t>
      </w:r>
      <w:proofErr w:type="gramStart"/>
      <w:r w:rsidRPr="00246676">
        <w:rPr>
          <w:sz w:val="20"/>
          <w:szCs w:val="20"/>
        </w:rPr>
        <w:t>mg.L</w:t>
      </w:r>
      <w:proofErr w:type="gramEnd"/>
      <w:r w:rsidRPr="00246676">
        <w:rPr>
          <w:sz w:val="20"/>
          <w:szCs w:val="20"/>
          <w:vertAlign w:val="superscript"/>
        </w:rPr>
        <w:t>-1</w:t>
      </w:r>
      <w:r w:rsidRPr="00246676">
        <w:rPr>
          <w:sz w:val="20"/>
          <w:szCs w:val="20"/>
        </w:rPr>
        <w:t xml:space="preserve">, a partir desta concentração foi observado um decréscimo nos valores das características avaliadas. 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sz w:val="20"/>
          <w:szCs w:val="20"/>
        </w:rPr>
      </w:pPr>
      <w:r w:rsidRPr="00246676">
        <w:rPr>
          <w:sz w:val="20"/>
          <w:szCs w:val="20"/>
        </w:rPr>
        <w:t>Os dados observados no presente trabalho mostram que a plântula de romãzeira possui facilidade em desenvolver-se no campo, porem o uso de giberelina auxilia a síntese de GA3 no embrião, o que exige energia (ATP) oriunda de processos respiratórios e água para ativar tal rota.  Neste caso, o uso de GA3 apresentou melhoras no seu desenvolvimento inicial. A pesquisa mostra que a água pura por trinta minutos é o suficiente para reestimular o início do desenvolvimento do embrião, porém o uso de GA3 pode acelerar e melhorar o desenvolvimento no campo.</w:t>
      </w:r>
    </w:p>
    <w:p w:rsidR="00246676" w:rsidRPr="00246676" w:rsidRDefault="00246676" w:rsidP="00246676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246676" w:rsidRPr="00246676" w:rsidRDefault="00246676" w:rsidP="00246676">
      <w:pPr>
        <w:spacing w:after="120" w:line="240" w:lineRule="auto"/>
        <w:rPr>
          <w:sz w:val="20"/>
          <w:szCs w:val="20"/>
        </w:rPr>
      </w:pPr>
      <w:r w:rsidRPr="00246676">
        <w:rPr>
          <w:sz w:val="20"/>
          <w:szCs w:val="20"/>
        </w:rPr>
        <w:t xml:space="preserve">    Tabela 1 – Dados referentes a GA3 no desenvolvimento de plântulas de romãzeira</w:t>
      </w:r>
    </w:p>
    <w:tbl>
      <w:tblPr>
        <w:tblW w:w="5001" w:type="pct"/>
        <w:jc w:val="center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76"/>
        <w:gridCol w:w="881"/>
        <w:gridCol w:w="1028"/>
        <w:gridCol w:w="900"/>
        <w:gridCol w:w="1028"/>
        <w:gridCol w:w="1147"/>
        <w:gridCol w:w="861"/>
        <w:gridCol w:w="994"/>
        <w:gridCol w:w="957"/>
      </w:tblGrid>
      <w:tr w:rsidR="00246676" w:rsidRPr="00246676" w:rsidTr="00246676">
        <w:trPr>
          <w:trHeight w:val="315"/>
          <w:jc w:val="center"/>
        </w:trPr>
        <w:tc>
          <w:tcPr>
            <w:tcW w:w="928" w:type="pct"/>
            <w:tcBorders>
              <w:bottom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Tratamento</w:t>
            </w:r>
          </w:p>
        </w:tc>
        <w:tc>
          <w:tcPr>
            <w:tcW w:w="460" w:type="pct"/>
            <w:tcBorders>
              <w:bottom w:val="single" w:sz="4" w:space="0" w:color="7F7F7F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AP</w:t>
            </w:r>
          </w:p>
        </w:tc>
        <w:tc>
          <w:tcPr>
            <w:tcW w:w="537" w:type="pct"/>
            <w:tcBorders>
              <w:bottom w:val="single" w:sz="4" w:space="0" w:color="7F7F7F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NF</w:t>
            </w:r>
          </w:p>
        </w:tc>
        <w:tc>
          <w:tcPr>
            <w:tcW w:w="470" w:type="pct"/>
            <w:tcBorders>
              <w:bottom w:val="single" w:sz="4" w:space="0" w:color="7F7F7F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DC</w:t>
            </w:r>
          </w:p>
        </w:tc>
        <w:tc>
          <w:tcPr>
            <w:tcW w:w="537" w:type="pc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CR</w:t>
            </w:r>
          </w:p>
        </w:tc>
        <w:tc>
          <w:tcPr>
            <w:tcW w:w="599" w:type="pc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MVF</w:t>
            </w:r>
          </w:p>
        </w:tc>
        <w:tc>
          <w:tcPr>
            <w:tcW w:w="450" w:type="pc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MVR</w:t>
            </w:r>
          </w:p>
        </w:tc>
        <w:tc>
          <w:tcPr>
            <w:tcW w:w="519" w:type="pc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MSF</w:t>
            </w:r>
          </w:p>
        </w:tc>
        <w:tc>
          <w:tcPr>
            <w:tcW w:w="500" w:type="pct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MSR</w:t>
            </w:r>
          </w:p>
        </w:tc>
      </w:tr>
      <w:tr w:rsidR="00246676" w:rsidRPr="00246676" w:rsidTr="00246676">
        <w:trPr>
          <w:trHeight w:val="315"/>
          <w:jc w:val="center"/>
        </w:trPr>
        <w:tc>
          <w:tcPr>
            <w:tcW w:w="928" w:type="pct"/>
            <w:tcBorders>
              <w:top w:val="single" w:sz="4" w:space="0" w:color="7F7F7F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>Testemunha</w:t>
            </w:r>
          </w:p>
        </w:tc>
        <w:tc>
          <w:tcPr>
            <w:tcW w:w="460" w:type="pct"/>
            <w:tcBorders>
              <w:top w:val="single" w:sz="4" w:space="0" w:color="7F7F7F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8,30 b</w:t>
            </w:r>
          </w:p>
        </w:tc>
        <w:tc>
          <w:tcPr>
            <w:tcW w:w="537" w:type="pct"/>
            <w:tcBorders>
              <w:top w:val="single" w:sz="4" w:space="0" w:color="7F7F7F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42,85 b</w:t>
            </w:r>
          </w:p>
        </w:tc>
        <w:tc>
          <w:tcPr>
            <w:tcW w:w="470" w:type="pct"/>
            <w:tcBorders>
              <w:top w:val="single" w:sz="4" w:space="0" w:color="7F7F7F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1,12 a</w:t>
            </w:r>
          </w:p>
        </w:tc>
        <w:tc>
          <w:tcPr>
            <w:tcW w:w="537" w:type="pct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15,28 a</w:t>
            </w:r>
          </w:p>
        </w:tc>
        <w:tc>
          <w:tcPr>
            <w:tcW w:w="599" w:type="pct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0,238 bc</w:t>
            </w:r>
          </w:p>
        </w:tc>
        <w:tc>
          <w:tcPr>
            <w:tcW w:w="450" w:type="pct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0,141 b</w:t>
            </w:r>
          </w:p>
        </w:tc>
        <w:tc>
          <w:tcPr>
            <w:tcW w:w="519" w:type="pct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0,070 c</w:t>
            </w:r>
          </w:p>
        </w:tc>
        <w:tc>
          <w:tcPr>
            <w:tcW w:w="500" w:type="pct"/>
            <w:tcBorders>
              <w:top w:val="single" w:sz="4" w:space="0" w:color="7F7F7F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0,039 bc</w:t>
            </w:r>
          </w:p>
        </w:tc>
      </w:tr>
      <w:tr w:rsidR="00246676" w:rsidRPr="00246676" w:rsidTr="00246676">
        <w:trPr>
          <w:trHeight w:val="315"/>
          <w:jc w:val="center"/>
        </w:trPr>
        <w:tc>
          <w:tcPr>
            <w:tcW w:w="92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 xml:space="preserve">GA3 1000 </w:t>
            </w:r>
            <w:proofErr w:type="gramStart"/>
            <w:r w:rsidRPr="00246676">
              <w:rPr>
                <w:bCs/>
                <w:color w:val="000000"/>
                <w:sz w:val="20"/>
                <w:szCs w:val="20"/>
              </w:rPr>
              <w:t>mg.L</w:t>
            </w:r>
            <w:proofErr w:type="gramEnd"/>
            <w:r w:rsidRPr="00246676">
              <w:rPr>
                <w:bCs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8,98 b</w:t>
            </w: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36,3 c</w:t>
            </w:r>
          </w:p>
        </w:tc>
        <w:tc>
          <w:tcPr>
            <w:tcW w:w="47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1,11 a</w:t>
            </w: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14,64 b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0,206 c</w:t>
            </w:r>
          </w:p>
        </w:tc>
        <w:tc>
          <w:tcPr>
            <w:tcW w:w="4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0,151 b</w:t>
            </w:r>
          </w:p>
        </w:tc>
        <w:tc>
          <w:tcPr>
            <w:tcW w:w="5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0,067 c</w:t>
            </w: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0,054 a</w:t>
            </w:r>
          </w:p>
        </w:tc>
      </w:tr>
      <w:tr w:rsidR="00246676" w:rsidRPr="00246676" w:rsidTr="00246676">
        <w:trPr>
          <w:trHeight w:val="315"/>
          <w:jc w:val="center"/>
        </w:trPr>
        <w:tc>
          <w:tcPr>
            <w:tcW w:w="92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 xml:space="preserve">GA3 2000 </w:t>
            </w:r>
            <w:proofErr w:type="gramStart"/>
            <w:r w:rsidRPr="00246676">
              <w:rPr>
                <w:bCs/>
                <w:color w:val="000000"/>
                <w:sz w:val="20"/>
                <w:szCs w:val="20"/>
              </w:rPr>
              <w:t>mg.L</w:t>
            </w:r>
            <w:proofErr w:type="gramEnd"/>
            <w:r w:rsidRPr="00246676">
              <w:rPr>
                <w:bCs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11,39 a</w:t>
            </w: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55,5 a</w:t>
            </w:r>
          </w:p>
        </w:tc>
        <w:tc>
          <w:tcPr>
            <w:tcW w:w="47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1,13 a</w:t>
            </w: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15,93 a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0,387 a</w:t>
            </w:r>
          </w:p>
        </w:tc>
        <w:tc>
          <w:tcPr>
            <w:tcW w:w="4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0,185 a</w:t>
            </w:r>
          </w:p>
        </w:tc>
        <w:tc>
          <w:tcPr>
            <w:tcW w:w="5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0,114 a</w:t>
            </w: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0,054 a</w:t>
            </w:r>
          </w:p>
        </w:tc>
      </w:tr>
      <w:tr w:rsidR="00246676" w:rsidRPr="00246676" w:rsidTr="00246676">
        <w:trPr>
          <w:trHeight w:val="315"/>
          <w:jc w:val="center"/>
        </w:trPr>
        <w:tc>
          <w:tcPr>
            <w:tcW w:w="92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 xml:space="preserve">GA3 3000 </w:t>
            </w:r>
            <w:proofErr w:type="gramStart"/>
            <w:r w:rsidRPr="00246676">
              <w:rPr>
                <w:bCs/>
                <w:color w:val="000000"/>
                <w:sz w:val="20"/>
                <w:szCs w:val="20"/>
              </w:rPr>
              <w:t>mg.L</w:t>
            </w:r>
            <w:proofErr w:type="gramEnd"/>
            <w:r w:rsidRPr="00246676">
              <w:rPr>
                <w:bCs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10,56 a</w:t>
            </w: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48,05 b</w:t>
            </w:r>
          </w:p>
        </w:tc>
        <w:tc>
          <w:tcPr>
            <w:tcW w:w="47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 xml:space="preserve">1,03 a </w:t>
            </w:r>
          </w:p>
        </w:tc>
        <w:tc>
          <w:tcPr>
            <w:tcW w:w="5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13,37 c</w:t>
            </w:r>
          </w:p>
        </w:tc>
        <w:tc>
          <w:tcPr>
            <w:tcW w:w="59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0,266 b</w:t>
            </w:r>
          </w:p>
        </w:tc>
        <w:tc>
          <w:tcPr>
            <w:tcW w:w="4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0,170 a</w:t>
            </w:r>
          </w:p>
        </w:tc>
        <w:tc>
          <w:tcPr>
            <w:tcW w:w="5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0,076 bc</w:t>
            </w:r>
          </w:p>
        </w:tc>
        <w:tc>
          <w:tcPr>
            <w:tcW w:w="50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0,049 ab</w:t>
            </w:r>
          </w:p>
        </w:tc>
      </w:tr>
      <w:tr w:rsidR="00246676" w:rsidRPr="00246676" w:rsidTr="00246676">
        <w:trPr>
          <w:trHeight w:val="315"/>
          <w:jc w:val="center"/>
        </w:trPr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6676">
              <w:rPr>
                <w:bCs/>
                <w:color w:val="000000"/>
                <w:sz w:val="20"/>
                <w:szCs w:val="20"/>
              </w:rPr>
              <w:t xml:space="preserve">GA3 4000 </w:t>
            </w:r>
            <w:proofErr w:type="gramStart"/>
            <w:r w:rsidRPr="00246676">
              <w:rPr>
                <w:bCs/>
                <w:color w:val="000000"/>
                <w:sz w:val="20"/>
                <w:szCs w:val="20"/>
              </w:rPr>
              <w:t>mg.L</w:t>
            </w:r>
            <w:proofErr w:type="gramEnd"/>
            <w:r w:rsidRPr="00246676">
              <w:rPr>
                <w:bCs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46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11,13 a</w:t>
            </w: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43,85 b</w:t>
            </w: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1,12 a</w:t>
            </w: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15,88 a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0,315 ab</w:t>
            </w:r>
          </w:p>
        </w:tc>
        <w:tc>
          <w:tcPr>
            <w:tcW w:w="45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0,141 b</w:t>
            </w:r>
          </w:p>
        </w:tc>
        <w:tc>
          <w:tcPr>
            <w:tcW w:w="51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0,082 bc</w:t>
            </w: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6676" w:rsidRPr="00246676" w:rsidRDefault="00246676" w:rsidP="00617D1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6676">
              <w:rPr>
                <w:color w:val="000000"/>
                <w:sz w:val="20"/>
                <w:szCs w:val="20"/>
              </w:rPr>
              <w:t>0,034 c</w:t>
            </w:r>
          </w:p>
        </w:tc>
      </w:tr>
    </w:tbl>
    <w:p w:rsidR="00246676" w:rsidRPr="00246676" w:rsidRDefault="00246676" w:rsidP="00246676">
      <w:pPr>
        <w:spacing w:after="0" w:line="240" w:lineRule="auto"/>
        <w:ind w:left="284"/>
        <w:jc w:val="both"/>
        <w:rPr>
          <w:sz w:val="20"/>
          <w:szCs w:val="20"/>
        </w:rPr>
      </w:pPr>
      <w:r w:rsidRPr="00246676">
        <w:rPr>
          <w:sz w:val="20"/>
          <w:szCs w:val="20"/>
        </w:rPr>
        <w:t>Médias, seguidas das mesmas letras nas colunas são estatisticamente iguais pelo teste de Tukey em 5% de probabilidade.</w:t>
      </w:r>
    </w:p>
    <w:p w:rsidR="00CF4FA3" w:rsidRPr="00CF4FA3" w:rsidRDefault="00CF4FA3" w:rsidP="00246676">
      <w:pPr>
        <w:spacing w:after="0" w:line="240" w:lineRule="auto"/>
        <w:jc w:val="both"/>
        <w:rPr>
          <w:sz w:val="20"/>
          <w:szCs w:val="20"/>
        </w:rPr>
      </w:pPr>
    </w:p>
    <w:p w:rsidR="00CF4FA3" w:rsidRPr="00CF4FA3" w:rsidRDefault="00CF4FA3" w:rsidP="00BC6783">
      <w:pPr>
        <w:spacing w:after="0" w:line="240" w:lineRule="auto"/>
        <w:jc w:val="center"/>
        <w:rPr>
          <w:b/>
          <w:sz w:val="20"/>
          <w:szCs w:val="20"/>
        </w:rPr>
      </w:pPr>
      <w:r w:rsidRPr="00CF4FA3">
        <w:rPr>
          <w:b/>
          <w:sz w:val="20"/>
          <w:szCs w:val="20"/>
        </w:rPr>
        <w:t>CONCLUSÃO</w:t>
      </w:r>
    </w:p>
    <w:p w:rsidR="00CF4FA3" w:rsidRPr="00CF4FA3" w:rsidRDefault="00CF4FA3" w:rsidP="00CF4FA3">
      <w:pPr>
        <w:spacing w:after="0" w:line="240" w:lineRule="auto"/>
        <w:jc w:val="both"/>
        <w:rPr>
          <w:b/>
          <w:sz w:val="20"/>
          <w:szCs w:val="20"/>
        </w:rPr>
      </w:pPr>
    </w:p>
    <w:p w:rsidR="00CF04DF" w:rsidRPr="00CF04DF" w:rsidRDefault="00CF04DF" w:rsidP="00CF04DF">
      <w:pPr>
        <w:spacing w:after="0" w:line="240" w:lineRule="auto"/>
        <w:ind w:firstLine="708"/>
        <w:jc w:val="both"/>
        <w:rPr>
          <w:kern w:val="28"/>
          <w:sz w:val="20"/>
          <w:szCs w:val="20"/>
        </w:rPr>
      </w:pPr>
      <w:r w:rsidRPr="00CF04DF">
        <w:rPr>
          <w:sz w:val="20"/>
          <w:szCs w:val="20"/>
        </w:rPr>
        <w:t xml:space="preserve">O tratamento com ácido giberélico em sementes de romãzeira foi eficiente para melhorar o desenvolvimento inicial de plântulas, sendo a dosagem de GA3 2000 </w:t>
      </w:r>
      <w:proofErr w:type="gramStart"/>
      <w:r w:rsidRPr="00CF04DF">
        <w:rPr>
          <w:sz w:val="20"/>
          <w:szCs w:val="20"/>
        </w:rPr>
        <w:t>mg.L</w:t>
      </w:r>
      <w:proofErr w:type="gramEnd"/>
      <w:r w:rsidRPr="00CF04DF">
        <w:rPr>
          <w:sz w:val="20"/>
          <w:szCs w:val="20"/>
          <w:vertAlign w:val="superscript"/>
        </w:rPr>
        <w:t>-1</w:t>
      </w:r>
      <w:r w:rsidRPr="00CF04DF">
        <w:rPr>
          <w:sz w:val="20"/>
          <w:szCs w:val="20"/>
        </w:rPr>
        <w:t xml:space="preserve"> a</w:t>
      </w:r>
      <w:r w:rsidRPr="00CF04DF">
        <w:rPr>
          <w:kern w:val="28"/>
          <w:sz w:val="20"/>
          <w:szCs w:val="20"/>
        </w:rPr>
        <w:t xml:space="preserve"> recomendada para esta espécie.</w:t>
      </w:r>
    </w:p>
    <w:p w:rsidR="00CF4FA3" w:rsidRPr="00CF4FA3" w:rsidRDefault="00CF4FA3" w:rsidP="00CF4FA3">
      <w:pPr>
        <w:spacing w:after="0" w:line="240" w:lineRule="auto"/>
        <w:ind w:firstLine="708"/>
        <w:jc w:val="both"/>
        <w:rPr>
          <w:sz w:val="20"/>
          <w:szCs w:val="20"/>
        </w:rPr>
      </w:pPr>
    </w:p>
    <w:p w:rsidR="00CF4FA3" w:rsidRPr="00CF4FA3" w:rsidRDefault="00CF4FA3" w:rsidP="00CF4FA3">
      <w:pPr>
        <w:pStyle w:val="TAMainText"/>
        <w:spacing w:line="240" w:lineRule="auto"/>
        <w:ind w:firstLine="0"/>
        <w:rPr>
          <w:rFonts w:ascii="Times New Roman" w:hAnsi="Times New Roman" w:cs="Times New Roman"/>
          <w:lang w:val="pt-BR"/>
        </w:rPr>
      </w:pPr>
    </w:p>
    <w:p w:rsidR="00CF4FA3" w:rsidRDefault="00BC6783" w:rsidP="00BC6783">
      <w:pPr>
        <w:spacing w:after="0" w:line="240" w:lineRule="auto"/>
        <w:jc w:val="center"/>
        <w:rPr>
          <w:b/>
          <w:kern w:val="28"/>
          <w:sz w:val="20"/>
          <w:szCs w:val="20"/>
        </w:rPr>
      </w:pPr>
      <w:r>
        <w:rPr>
          <w:b/>
          <w:kern w:val="28"/>
          <w:sz w:val="20"/>
          <w:szCs w:val="20"/>
        </w:rPr>
        <w:t>REFERÊNCIAS</w:t>
      </w:r>
    </w:p>
    <w:p w:rsidR="00CF04DF" w:rsidRDefault="00CF04DF" w:rsidP="00CF04DF">
      <w:pPr>
        <w:spacing w:after="0" w:line="240" w:lineRule="auto"/>
        <w:ind w:left="709" w:hanging="709"/>
        <w:jc w:val="both"/>
        <w:rPr>
          <w:sz w:val="20"/>
          <w:szCs w:val="20"/>
        </w:rPr>
      </w:pPr>
    </w:p>
    <w:p w:rsidR="00CF4FA3" w:rsidRPr="00CF4FA3" w:rsidRDefault="005D3995" w:rsidP="00CF04DF">
      <w:pPr>
        <w:spacing w:after="0" w:line="240" w:lineRule="auto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CARVALHO, N.M.;</w:t>
      </w:r>
      <w:r w:rsidRPr="00CF4FA3">
        <w:rPr>
          <w:sz w:val="20"/>
          <w:szCs w:val="20"/>
        </w:rPr>
        <w:t xml:space="preserve"> NAKAGAWA</w:t>
      </w:r>
      <w:r w:rsidR="00CF4FA3" w:rsidRPr="00CF4FA3">
        <w:rPr>
          <w:sz w:val="20"/>
          <w:szCs w:val="20"/>
        </w:rPr>
        <w:t xml:space="preserve">, J. </w:t>
      </w:r>
      <w:r w:rsidR="00CF4FA3" w:rsidRPr="00BC6783">
        <w:rPr>
          <w:b/>
          <w:sz w:val="20"/>
          <w:szCs w:val="20"/>
        </w:rPr>
        <w:t>Sementes</w:t>
      </w:r>
      <w:r w:rsidR="00CF4FA3" w:rsidRPr="00CF4FA3">
        <w:rPr>
          <w:sz w:val="20"/>
          <w:szCs w:val="20"/>
        </w:rPr>
        <w:t xml:space="preserve">: ciência, tecnologia e produção. 4.ed., Jaboticabal, FUNEP, </w:t>
      </w:r>
      <w:r w:rsidR="00BC6783" w:rsidRPr="00CF4FA3">
        <w:rPr>
          <w:sz w:val="20"/>
          <w:szCs w:val="20"/>
        </w:rPr>
        <w:t xml:space="preserve">2000. </w:t>
      </w:r>
      <w:r w:rsidR="00CF4FA3" w:rsidRPr="00CF4FA3">
        <w:rPr>
          <w:sz w:val="20"/>
          <w:szCs w:val="20"/>
        </w:rPr>
        <w:t>588p.</w:t>
      </w:r>
    </w:p>
    <w:p w:rsidR="00CF4FA3" w:rsidRPr="00CF4FA3" w:rsidRDefault="00CF4FA3" w:rsidP="00CF04DF">
      <w:pPr>
        <w:spacing w:after="0" w:line="240" w:lineRule="auto"/>
        <w:ind w:left="709" w:hanging="709"/>
        <w:jc w:val="both"/>
        <w:rPr>
          <w:sz w:val="20"/>
          <w:szCs w:val="20"/>
        </w:rPr>
      </w:pPr>
    </w:p>
    <w:p w:rsidR="00CF4FA3" w:rsidRPr="00CF4FA3" w:rsidRDefault="005D3995" w:rsidP="00CF04DF">
      <w:pPr>
        <w:spacing w:after="0" w:line="240" w:lineRule="auto"/>
        <w:ind w:left="709" w:hanging="709"/>
        <w:rPr>
          <w:sz w:val="20"/>
          <w:szCs w:val="20"/>
        </w:rPr>
      </w:pPr>
      <w:r w:rsidRPr="00CF4FA3">
        <w:rPr>
          <w:sz w:val="20"/>
          <w:szCs w:val="20"/>
        </w:rPr>
        <w:t>FERRARI, T. B.</w:t>
      </w:r>
      <w:r>
        <w:rPr>
          <w:sz w:val="20"/>
          <w:szCs w:val="20"/>
        </w:rPr>
        <w:t>; FERREIRA, G.; MISCHAN, M. M.;</w:t>
      </w:r>
      <w:r w:rsidRPr="00CF4FA3">
        <w:rPr>
          <w:sz w:val="20"/>
          <w:szCs w:val="20"/>
        </w:rPr>
        <w:t xml:space="preserve"> PINHO, </w:t>
      </w:r>
      <w:r w:rsidR="00CF4FA3" w:rsidRPr="00CF4FA3">
        <w:rPr>
          <w:sz w:val="20"/>
          <w:szCs w:val="20"/>
        </w:rPr>
        <w:t>S. Z. Germinação de sementes de maracujá-doce (</w:t>
      </w:r>
      <w:r w:rsidR="00CF4FA3" w:rsidRPr="00C83133">
        <w:rPr>
          <w:i/>
          <w:sz w:val="20"/>
          <w:szCs w:val="20"/>
        </w:rPr>
        <w:t xml:space="preserve">Passiflora </w:t>
      </w:r>
      <w:proofErr w:type="spellStart"/>
      <w:r w:rsidR="00CF4FA3" w:rsidRPr="00C83133">
        <w:rPr>
          <w:i/>
          <w:sz w:val="20"/>
          <w:szCs w:val="20"/>
        </w:rPr>
        <w:t>alata</w:t>
      </w:r>
      <w:proofErr w:type="spellEnd"/>
      <w:r w:rsidR="00CF4FA3" w:rsidRPr="00C83133">
        <w:rPr>
          <w:i/>
          <w:sz w:val="20"/>
          <w:szCs w:val="20"/>
        </w:rPr>
        <w:t xml:space="preserve"> Curtis</w:t>
      </w:r>
      <w:r w:rsidR="00CF4FA3" w:rsidRPr="00CF4FA3">
        <w:rPr>
          <w:sz w:val="20"/>
          <w:szCs w:val="20"/>
        </w:rPr>
        <w:t xml:space="preserve">): Fases e efeito de reguladores vegetais. </w:t>
      </w:r>
      <w:r w:rsidR="00CF4FA3" w:rsidRPr="00BC6783">
        <w:rPr>
          <w:b/>
          <w:sz w:val="20"/>
          <w:szCs w:val="20"/>
        </w:rPr>
        <w:t xml:space="preserve">Revista </w:t>
      </w:r>
      <w:proofErr w:type="spellStart"/>
      <w:r w:rsidR="00CF4FA3" w:rsidRPr="00BC6783">
        <w:rPr>
          <w:b/>
          <w:sz w:val="20"/>
          <w:szCs w:val="20"/>
        </w:rPr>
        <w:t>Biotemas</w:t>
      </w:r>
      <w:proofErr w:type="spellEnd"/>
      <w:r w:rsidR="00CF4FA3" w:rsidRPr="00CF4FA3">
        <w:rPr>
          <w:sz w:val="20"/>
          <w:szCs w:val="20"/>
        </w:rPr>
        <w:t>, v.21, n.3, p.65-74.</w:t>
      </w:r>
      <w:r w:rsidR="00BC6783" w:rsidRPr="00BC6783">
        <w:rPr>
          <w:sz w:val="20"/>
          <w:szCs w:val="20"/>
        </w:rPr>
        <w:t xml:space="preserve"> </w:t>
      </w:r>
      <w:r w:rsidR="00BC6783" w:rsidRPr="00CF4FA3">
        <w:rPr>
          <w:sz w:val="20"/>
          <w:szCs w:val="20"/>
        </w:rPr>
        <w:t>2008.</w:t>
      </w:r>
    </w:p>
    <w:p w:rsidR="00CF4FA3" w:rsidRPr="00CF4FA3" w:rsidRDefault="00CF4FA3" w:rsidP="00CF04DF">
      <w:pPr>
        <w:spacing w:after="0" w:line="240" w:lineRule="auto"/>
        <w:ind w:left="709" w:hanging="709"/>
        <w:rPr>
          <w:sz w:val="20"/>
          <w:szCs w:val="20"/>
        </w:rPr>
      </w:pPr>
    </w:p>
    <w:p w:rsidR="00CF4FA3" w:rsidRDefault="005D3995" w:rsidP="00CF04DF">
      <w:pPr>
        <w:spacing w:after="0" w:line="240" w:lineRule="auto"/>
        <w:ind w:left="709" w:hanging="714"/>
        <w:jc w:val="both"/>
        <w:rPr>
          <w:sz w:val="20"/>
          <w:szCs w:val="20"/>
        </w:rPr>
      </w:pPr>
      <w:r w:rsidRPr="00CF4FA3">
        <w:rPr>
          <w:sz w:val="20"/>
          <w:szCs w:val="20"/>
        </w:rPr>
        <w:t xml:space="preserve">FERRAZ, </w:t>
      </w:r>
      <w:r w:rsidR="00CF4FA3" w:rsidRPr="00CF4FA3">
        <w:rPr>
          <w:sz w:val="20"/>
          <w:szCs w:val="20"/>
        </w:rPr>
        <w:t xml:space="preserve">R. A. </w:t>
      </w:r>
      <w:r w:rsidR="00CF4FA3" w:rsidRPr="00BC6783">
        <w:rPr>
          <w:sz w:val="20"/>
          <w:szCs w:val="20"/>
        </w:rPr>
        <w:t>et al.</w:t>
      </w:r>
      <w:r w:rsidR="00CF4FA3" w:rsidRPr="00CF4FA3">
        <w:rPr>
          <w:sz w:val="20"/>
          <w:szCs w:val="20"/>
        </w:rPr>
        <w:t xml:space="preserve"> Emergência de sementes de romã tratadas com reguladores vegetais. </w:t>
      </w:r>
      <w:proofErr w:type="spellStart"/>
      <w:r w:rsidR="00CF4FA3" w:rsidRPr="00BC6783">
        <w:rPr>
          <w:b/>
          <w:sz w:val="20"/>
          <w:szCs w:val="20"/>
        </w:rPr>
        <w:t>Journal</w:t>
      </w:r>
      <w:proofErr w:type="spellEnd"/>
      <w:r w:rsidR="00CF4FA3" w:rsidRPr="00BC6783">
        <w:rPr>
          <w:b/>
          <w:sz w:val="20"/>
          <w:szCs w:val="20"/>
        </w:rPr>
        <w:t xml:space="preserve"> </w:t>
      </w:r>
      <w:proofErr w:type="spellStart"/>
      <w:r w:rsidR="00CF4FA3" w:rsidRPr="00BC6783">
        <w:rPr>
          <w:b/>
          <w:sz w:val="20"/>
          <w:szCs w:val="20"/>
        </w:rPr>
        <w:t>of</w:t>
      </w:r>
      <w:proofErr w:type="spellEnd"/>
      <w:r w:rsidR="00CF4FA3" w:rsidRPr="00BC6783">
        <w:rPr>
          <w:b/>
          <w:sz w:val="20"/>
          <w:szCs w:val="20"/>
        </w:rPr>
        <w:t xml:space="preserve"> </w:t>
      </w:r>
      <w:proofErr w:type="spellStart"/>
      <w:r w:rsidR="00CF4FA3" w:rsidRPr="00BC6783">
        <w:rPr>
          <w:b/>
          <w:sz w:val="20"/>
          <w:szCs w:val="20"/>
        </w:rPr>
        <w:t>Agronomic</w:t>
      </w:r>
      <w:proofErr w:type="spellEnd"/>
      <w:r w:rsidR="00CF4FA3" w:rsidRPr="00BC6783">
        <w:rPr>
          <w:b/>
          <w:sz w:val="20"/>
          <w:szCs w:val="20"/>
        </w:rPr>
        <w:t xml:space="preserve"> </w:t>
      </w:r>
      <w:proofErr w:type="spellStart"/>
      <w:r w:rsidR="00CF4FA3" w:rsidRPr="00BC6783">
        <w:rPr>
          <w:b/>
          <w:sz w:val="20"/>
          <w:szCs w:val="20"/>
        </w:rPr>
        <w:t>Sciences</w:t>
      </w:r>
      <w:proofErr w:type="spellEnd"/>
      <w:r w:rsidR="00CF4FA3" w:rsidRPr="00CF4FA3">
        <w:rPr>
          <w:sz w:val="20"/>
          <w:szCs w:val="20"/>
        </w:rPr>
        <w:t>, Umuarama. v 5, n 2, p 226-236.</w:t>
      </w:r>
      <w:r w:rsidR="00BC6783" w:rsidRPr="00BC6783">
        <w:rPr>
          <w:sz w:val="20"/>
          <w:szCs w:val="20"/>
        </w:rPr>
        <w:t xml:space="preserve"> </w:t>
      </w:r>
      <w:r w:rsidR="00BC6783" w:rsidRPr="00CF4FA3">
        <w:rPr>
          <w:sz w:val="20"/>
          <w:szCs w:val="20"/>
        </w:rPr>
        <w:t>2016.</w:t>
      </w:r>
    </w:p>
    <w:p w:rsidR="00CF04DF" w:rsidRPr="00CF4FA3" w:rsidRDefault="00CF04DF" w:rsidP="00CF04DF">
      <w:pPr>
        <w:spacing w:after="0" w:line="240" w:lineRule="auto"/>
        <w:ind w:left="709" w:hanging="714"/>
        <w:jc w:val="both"/>
        <w:rPr>
          <w:sz w:val="20"/>
          <w:szCs w:val="20"/>
        </w:rPr>
      </w:pPr>
    </w:p>
    <w:p w:rsidR="00CF04DF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CF04DF">
        <w:rPr>
          <w:sz w:val="20"/>
          <w:szCs w:val="20"/>
        </w:rPr>
        <w:t>FERREIRA, G.; OLIVEIRA, A.;</w:t>
      </w:r>
      <w:r>
        <w:rPr>
          <w:sz w:val="20"/>
          <w:szCs w:val="20"/>
        </w:rPr>
        <w:t xml:space="preserve"> RODRIGUES, J. D.; DIAS, G. B.;</w:t>
      </w:r>
      <w:r w:rsidRPr="00CF04DF">
        <w:rPr>
          <w:sz w:val="20"/>
          <w:szCs w:val="20"/>
        </w:rPr>
        <w:t xml:space="preserve"> DETONI, A. M.; TESSER, S. M.; ANTUNES, A. M. Efeito de arilo na germinação de sementes de </w:t>
      </w:r>
      <w:r w:rsidRPr="00CF04DF">
        <w:rPr>
          <w:i/>
          <w:sz w:val="20"/>
          <w:szCs w:val="20"/>
        </w:rPr>
        <w:t xml:space="preserve">Passiflora </w:t>
      </w:r>
      <w:proofErr w:type="spellStart"/>
      <w:r w:rsidRPr="00CF04DF">
        <w:rPr>
          <w:i/>
          <w:sz w:val="20"/>
          <w:szCs w:val="20"/>
        </w:rPr>
        <w:t>alata</w:t>
      </w:r>
      <w:proofErr w:type="spellEnd"/>
      <w:r w:rsidRPr="00CF04DF">
        <w:rPr>
          <w:sz w:val="20"/>
          <w:szCs w:val="20"/>
        </w:rPr>
        <w:t xml:space="preserve"> Curtis em diferentes substratos e submetidas a tratamentos com giberelina. </w:t>
      </w:r>
      <w:r w:rsidRPr="00CF04DF">
        <w:rPr>
          <w:b/>
          <w:sz w:val="20"/>
          <w:szCs w:val="20"/>
        </w:rPr>
        <w:t>Revista Brasileira de Fruticultura</w:t>
      </w:r>
      <w:r w:rsidRPr="00CF04DF">
        <w:rPr>
          <w:sz w:val="20"/>
          <w:szCs w:val="20"/>
        </w:rPr>
        <w:t>, v.27, n.2, p.277-280. 2005.</w:t>
      </w:r>
    </w:p>
    <w:p w:rsidR="00CF04DF" w:rsidRPr="00CF04DF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sz w:val="20"/>
          <w:szCs w:val="20"/>
        </w:rPr>
      </w:pPr>
    </w:p>
    <w:p w:rsidR="00CF4FA3" w:rsidRPr="00BD33D8" w:rsidRDefault="005D3995" w:rsidP="00CF04DF">
      <w:p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sz w:val="20"/>
          <w:szCs w:val="20"/>
        </w:rPr>
      </w:pPr>
      <w:r w:rsidRPr="00CF4FA3">
        <w:rPr>
          <w:sz w:val="20"/>
          <w:szCs w:val="20"/>
        </w:rPr>
        <w:t>INCAPER.</w:t>
      </w:r>
      <w:r w:rsidR="00CF4FA3" w:rsidRPr="00CF4FA3">
        <w:rPr>
          <w:sz w:val="20"/>
          <w:szCs w:val="20"/>
        </w:rPr>
        <w:t xml:space="preserve"> </w:t>
      </w:r>
      <w:r w:rsidR="00CF4FA3" w:rsidRPr="00CF04DF">
        <w:rPr>
          <w:b/>
          <w:sz w:val="20"/>
          <w:szCs w:val="20"/>
        </w:rPr>
        <w:t>Planejamento e programação de ações para Santa Teresa</w:t>
      </w:r>
      <w:r w:rsidR="00CF4FA3" w:rsidRPr="00CF4FA3">
        <w:rPr>
          <w:sz w:val="20"/>
          <w:szCs w:val="20"/>
        </w:rPr>
        <w:t>. Programa de assistência técnica e extensão rural PROATER, Secretaria de Agricultura.</w:t>
      </w:r>
      <w:r w:rsidR="00BC6783" w:rsidRPr="00BC6783">
        <w:rPr>
          <w:sz w:val="20"/>
          <w:szCs w:val="20"/>
        </w:rPr>
        <w:t xml:space="preserve"> </w:t>
      </w:r>
      <w:r w:rsidR="00BC6783" w:rsidRPr="00BD33D8">
        <w:rPr>
          <w:sz w:val="20"/>
          <w:szCs w:val="20"/>
        </w:rPr>
        <w:t>2011.</w:t>
      </w:r>
    </w:p>
    <w:p w:rsidR="00CF04DF" w:rsidRPr="00BD33D8" w:rsidRDefault="00CF04DF" w:rsidP="00CF04DF">
      <w:p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sz w:val="20"/>
          <w:szCs w:val="20"/>
        </w:rPr>
      </w:pPr>
    </w:p>
    <w:p w:rsidR="00CF04DF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CF04DF">
        <w:rPr>
          <w:sz w:val="20"/>
          <w:szCs w:val="20"/>
        </w:rPr>
        <w:t xml:space="preserve">METIVIER, J.R. Dormência e germinação. In: FERRI, M.G. </w:t>
      </w:r>
      <w:r w:rsidRPr="00CF04DF">
        <w:rPr>
          <w:b/>
          <w:sz w:val="20"/>
          <w:szCs w:val="20"/>
        </w:rPr>
        <w:t>Fisiologia vegetal</w:t>
      </w:r>
      <w:r w:rsidRPr="00CF04DF">
        <w:rPr>
          <w:sz w:val="20"/>
          <w:szCs w:val="20"/>
        </w:rPr>
        <w:t>. São Paulo: Editora da Universidade de São Paulo, v. 2. p. 343-392. 1979.</w:t>
      </w:r>
    </w:p>
    <w:p w:rsidR="00CF04DF" w:rsidRPr="00CF04DF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sz w:val="20"/>
          <w:szCs w:val="20"/>
        </w:rPr>
      </w:pPr>
    </w:p>
    <w:p w:rsidR="00CF04DF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CF04DF">
        <w:rPr>
          <w:sz w:val="20"/>
          <w:szCs w:val="20"/>
        </w:rPr>
        <w:t>PASSOS, I. R. S.; MATOS, G. V. C.; MELETTI, L. M. M.; SC</w:t>
      </w:r>
      <w:r>
        <w:rPr>
          <w:sz w:val="20"/>
          <w:szCs w:val="20"/>
        </w:rPr>
        <w:t>OTT, M. D. S.; BERNACCI, L. C.;</w:t>
      </w:r>
      <w:r w:rsidRPr="00CF04DF">
        <w:rPr>
          <w:sz w:val="20"/>
          <w:szCs w:val="20"/>
        </w:rPr>
        <w:t xml:space="preserve"> VIEIRA, M. A. R. Utilização do ácido giberélico para a quebra de dormência de sementes de </w:t>
      </w:r>
      <w:r w:rsidRPr="00CF04DF">
        <w:rPr>
          <w:i/>
          <w:sz w:val="20"/>
          <w:szCs w:val="20"/>
        </w:rPr>
        <w:t xml:space="preserve">Passiflora </w:t>
      </w:r>
      <w:proofErr w:type="spellStart"/>
      <w:r w:rsidRPr="00CF04DF">
        <w:rPr>
          <w:i/>
          <w:sz w:val="20"/>
          <w:szCs w:val="20"/>
        </w:rPr>
        <w:t>nitida</w:t>
      </w:r>
      <w:proofErr w:type="spellEnd"/>
      <w:r w:rsidRPr="00CF04DF">
        <w:rPr>
          <w:sz w:val="20"/>
          <w:szCs w:val="20"/>
        </w:rPr>
        <w:t xml:space="preserve"> </w:t>
      </w:r>
      <w:proofErr w:type="spellStart"/>
      <w:r w:rsidRPr="00CF04DF">
        <w:rPr>
          <w:sz w:val="20"/>
          <w:szCs w:val="20"/>
        </w:rPr>
        <w:t>Kunth</w:t>
      </w:r>
      <w:proofErr w:type="spellEnd"/>
      <w:r w:rsidRPr="00CF04DF">
        <w:rPr>
          <w:sz w:val="20"/>
          <w:szCs w:val="20"/>
        </w:rPr>
        <w:t xml:space="preserve"> germinadas in vitro. </w:t>
      </w:r>
      <w:r w:rsidRPr="00CF04DF">
        <w:rPr>
          <w:b/>
          <w:sz w:val="20"/>
          <w:szCs w:val="20"/>
        </w:rPr>
        <w:t>Revista Brasileira de Fruticultura</w:t>
      </w:r>
      <w:r w:rsidRPr="00CF04DF">
        <w:rPr>
          <w:sz w:val="20"/>
          <w:szCs w:val="20"/>
        </w:rPr>
        <w:t>, v.26, n.2, p.380-381. 2004.</w:t>
      </w:r>
    </w:p>
    <w:p w:rsidR="00CF04DF" w:rsidRPr="00CF04DF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b/>
          <w:sz w:val="20"/>
          <w:szCs w:val="20"/>
        </w:rPr>
      </w:pPr>
    </w:p>
    <w:p w:rsidR="00CF04DF" w:rsidRPr="00BD33D8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CF04DF">
        <w:rPr>
          <w:sz w:val="20"/>
          <w:szCs w:val="20"/>
        </w:rPr>
        <w:t>ROSSETTO, C. A. V.; CONEGLIAN, R. C. C.; NAKAGAWA, J.; SHIMIZU, M. K.; MARIN, V. A. Germinação de sementes de maracujá-doce (</w:t>
      </w:r>
      <w:r w:rsidRPr="00CF04DF">
        <w:rPr>
          <w:i/>
          <w:sz w:val="20"/>
          <w:szCs w:val="20"/>
        </w:rPr>
        <w:t xml:space="preserve">Passiflora </w:t>
      </w:r>
      <w:proofErr w:type="spellStart"/>
      <w:r w:rsidRPr="00CF04DF">
        <w:rPr>
          <w:i/>
          <w:sz w:val="20"/>
          <w:szCs w:val="20"/>
        </w:rPr>
        <w:t>alata</w:t>
      </w:r>
      <w:proofErr w:type="spellEnd"/>
      <w:r w:rsidRPr="00CF04DF">
        <w:rPr>
          <w:sz w:val="20"/>
          <w:szCs w:val="20"/>
        </w:rPr>
        <w:t xml:space="preserve"> </w:t>
      </w:r>
      <w:proofErr w:type="spellStart"/>
      <w:r w:rsidRPr="00CF04DF">
        <w:rPr>
          <w:sz w:val="20"/>
          <w:szCs w:val="20"/>
        </w:rPr>
        <w:t>Dryand</w:t>
      </w:r>
      <w:proofErr w:type="spellEnd"/>
      <w:r w:rsidRPr="00CF04DF">
        <w:rPr>
          <w:sz w:val="20"/>
          <w:szCs w:val="20"/>
        </w:rPr>
        <w:t xml:space="preserve">) em função de tratamento pré-germinativo. </w:t>
      </w:r>
      <w:r w:rsidRPr="00CF04DF">
        <w:rPr>
          <w:b/>
          <w:sz w:val="20"/>
          <w:szCs w:val="20"/>
        </w:rPr>
        <w:t>Revista Brasileira de Sementes</w:t>
      </w:r>
      <w:r w:rsidRPr="00CF04DF">
        <w:rPr>
          <w:sz w:val="20"/>
          <w:szCs w:val="20"/>
        </w:rPr>
        <w:t>, v.22, n.1, p.247-252.</w:t>
      </w:r>
      <w:r w:rsidRPr="00BD33D8">
        <w:rPr>
          <w:sz w:val="20"/>
          <w:szCs w:val="20"/>
        </w:rPr>
        <w:t xml:space="preserve"> 2000.</w:t>
      </w:r>
    </w:p>
    <w:p w:rsidR="00CF04DF" w:rsidRPr="00CF04DF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sz w:val="20"/>
          <w:szCs w:val="20"/>
        </w:rPr>
      </w:pPr>
    </w:p>
    <w:p w:rsidR="00CF04DF" w:rsidRPr="00BD33D8" w:rsidRDefault="00CF04DF" w:rsidP="00CF04DF">
      <w:pPr>
        <w:pStyle w:val="Default"/>
        <w:tabs>
          <w:tab w:val="left" w:pos="709"/>
        </w:tabs>
        <w:ind w:left="709" w:hanging="709"/>
        <w:jc w:val="both"/>
        <w:rPr>
          <w:sz w:val="20"/>
          <w:szCs w:val="20"/>
        </w:rPr>
      </w:pPr>
      <w:r w:rsidRPr="00BD33D8">
        <w:rPr>
          <w:sz w:val="20"/>
          <w:szCs w:val="20"/>
        </w:rPr>
        <w:t xml:space="preserve">SALISBURY, F.B.; ROSS, C.W. </w:t>
      </w:r>
      <w:proofErr w:type="spellStart"/>
      <w:r w:rsidRPr="00BD33D8">
        <w:rPr>
          <w:b/>
          <w:sz w:val="20"/>
          <w:szCs w:val="20"/>
        </w:rPr>
        <w:t>Plant</w:t>
      </w:r>
      <w:proofErr w:type="spellEnd"/>
      <w:r w:rsidRPr="00BD33D8">
        <w:rPr>
          <w:b/>
          <w:sz w:val="20"/>
          <w:szCs w:val="20"/>
        </w:rPr>
        <w:t xml:space="preserve"> </w:t>
      </w:r>
      <w:proofErr w:type="spellStart"/>
      <w:r w:rsidRPr="00BD33D8">
        <w:rPr>
          <w:b/>
          <w:sz w:val="20"/>
          <w:szCs w:val="20"/>
        </w:rPr>
        <w:t>physiology</w:t>
      </w:r>
      <w:proofErr w:type="spellEnd"/>
      <w:r w:rsidRPr="00BD33D8">
        <w:rPr>
          <w:sz w:val="20"/>
          <w:szCs w:val="20"/>
        </w:rPr>
        <w:t xml:space="preserve">. </w:t>
      </w:r>
      <w:proofErr w:type="spellStart"/>
      <w:r w:rsidRPr="00BD33D8">
        <w:rPr>
          <w:sz w:val="20"/>
          <w:szCs w:val="20"/>
        </w:rPr>
        <w:t>Belmont</w:t>
      </w:r>
      <w:proofErr w:type="spellEnd"/>
      <w:r w:rsidRPr="00BD33D8">
        <w:rPr>
          <w:sz w:val="20"/>
          <w:szCs w:val="20"/>
        </w:rPr>
        <w:t xml:space="preserve">: </w:t>
      </w:r>
      <w:proofErr w:type="spellStart"/>
      <w:r w:rsidRPr="00BD33D8">
        <w:rPr>
          <w:sz w:val="20"/>
          <w:szCs w:val="20"/>
        </w:rPr>
        <w:t>Wadsworth</w:t>
      </w:r>
      <w:proofErr w:type="spellEnd"/>
      <w:r w:rsidRPr="00BD33D8">
        <w:rPr>
          <w:sz w:val="20"/>
          <w:szCs w:val="20"/>
        </w:rPr>
        <w:t xml:space="preserve"> </w:t>
      </w:r>
      <w:proofErr w:type="spellStart"/>
      <w:r w:rsidRPr="00BD33D8">
        <w:rPr>
          <w:sz w:val="20"/>
          <w:szCs w:val="20"/>
        </w:rPr>
        <w:t>Publishing</w:t>
      </w:r>
      <w:proofErr w:type="spellEnd"/>
      <w:r w:rsidRPr="00BD33D8">
        <w:rPr>
          <w:sz w:val="20"/>
          <w:szCs w:val="20"/>
        </w:rPr>
        <w:t>, 682 p. 1992.</w:t>
      </w:r>
    </w:p>
    <w:p w:rsidR="00CF4FA3" w:rsidRPr="00BD33D8" w:rsidRDefault="00CF4FA3" w:rsidP="00CF04DF">
      <w:pPr>
        <w:spacing w:after="0" w:line="240" w:lineRule="auto"/>
        <w:jc w:val="both"/>
        <w:rPr>
          <w:sz w:val="20"/>
          <w:szCs w:val="20"/>
        </w:rPr>
      </w:pPr>
    </w:p>
    <w:p w:rsidR="00CF4FA3" w:rsidRPr="00CF04DF" w:rsidRDefault="005D3995" w:rsidP="00CF04DF">
      <w:pPr>
        <w:spacing w:after="0" w:line="240" w:lineRule="auto"/>
        <w:ind w:left="709" w:hanging="709"/>
        <w:rPr>
          <w:sz w:val="20"/>
          <w:szCs w:val="20"/>
        </w:rPr>
      </w:pPr>
      <w:r w:rsidRPr="00BD33D8">
        <w:rPr>
          <w:sz w:val="20"/>
          <w:szCs w:val="20"/>
        </w:rPr>
        <w:t xml:space="preserve">SANTOS, D. L.; SUGAHARA, V. Y.; </w:t>
      </w:r>
      <w:proofErr w:type="spellStart"/>
      <w:r w:rsidRPr="00BD33D8">
        <w:rPr>
          <w:sz w:val="20"/>
          <w:szCs w:val="20"/>
        </w:rPr>
        <w:t>TAKA</w:t>
      </w:r>
      <w:r w:rsidR="00CF4FA3" w:rsidRPr="00BD33D8">
        <w:rPr>
          <w:sz w:val="20"/>
          <w:szCs w:val="20"/>
        </w:rPr>
        <w:t>ki</w:t>
      </w:r>
      <w:proofErr w:type="spellEnd"/>
      <w:r w:rsidR="00CF4FA3" w:rsidRPr="00BD33D8">
        <w:rPr>
          <w:sz w:val="20"/>
          <w:szCs w:val="20"/>
        </w:rPr>
        <w:t>, M. Efeitos da lu</w:t>
      </w:r>
      <w:r w:rsidR="00CF4FA3" w:rsidRPr="00CF4FA3">
        <w:rPr>
          <w:sz w:val="20"/>
          <w:szCs w:val="20"/>
        </w:rPr>
        <w:t xml:space="preserve">z e da temperatura na germinação de sementes de </w:t>
      </w:r>
      <w:r w:rsidR="00CF4FA3" w:rsidRPr="00C83133">
        <w:rPr>
          <w:i/>
          <w:sz w:val="20"/>
          <w:szCs w:val="20"/>
        </w:rPr>
        <w:t xml:space="preserve">Tabebuia </w:t>
      </w:r>
      <w:proofErr w:type="spellStart"/>
      <w:r w:rsidR="00CF4FA3" w:rsidRPr="00C83133">
        <w:rPr>
          <w:i/>
          <w:sz w:val="20"/>
          <w:szCs w:val="20"/>
        </w:rPr>
        <w:t>serratifolia</w:t>
      </w:r>
      <w:proofErr w:type="spellEnd"/>
      <w:r w:rsidR="00CF4FA3" w:rsidRPr="00CF4FA3">
        <w:rPr>
          <w:sz w:val="20"/>
          <w:szCs w:val="20"/>
        </w:rPr>
        <w:t xml:space="preserve"> (</w:t>
      </w:r>
      <w:proofErr w:type="spellStart"/>
      <w:r w:rsidR="00CF4FA3" w:rsidRPr="00CF4FA3">
        <w:rPr>
          <w:sz w:val="20"/>
          <w:szCs w:val="20"/>
        </w:rPr>
        <w:t>Vahl</w:t>
      </w:r>
      <w:proofErr w:type="spellEnd"/>
      <w:r w:rsidR="00CF4FA3" w:rsidRPr="00CF4FA3">
        <w:rPr>
          <w:sz w:val="20"/>
          <w:szCs w:val="20"/>
        </w:rPr>
        <w:t xml:space="preserve">) </w:t>
      </w:r>
      <w:proofErr w:type="spellStart"/>
      <w:r w:rsidR="00CF4FA3" w:rsidRPr="00CF4FA3">
        <w:rPr>
          <w:sz w:val="20"/>
          <w:szCs w:val="20"/>
        </w:rPr>
        <w:t>Nich</w:t>
      </w:r>
      <w:proofErr w:type="spellEnd"/>
      <w:r w:rsidR="00CF4FA3" w:rsidRPr="00CF4FA3">
        <w:rPr>
          <w:sz w:val="20"/>
          <w:szCs w:val="20"/>
        </w:rPr>
        <w:t xml:space="preserve">, </w:t>
      </w:r>
      <w:r w:rsidR="00CF4FA3" w:rsidRPr="00C83133">
        <w:rPr>
          <w:i/>
          <w:sz w:val="20"/>
          <w:szCs w:val="20"/>
        </w:rPr>
        <w:t xml:space="preserve">Tabebuia </w:t>
      </w:r>
      <w:proofErr w:type="spellStart"/>
      <w:r w:rsidR="00CF4FA3" w:rsidRPr="00C83133">
        <w:rPr>
          <w:i/>
          <w:sz w:val="20"/>
          <w:szCs w:val="20"/>
        </w:rPr>
        <w:t>chrysotricha</w:t>
      </w:r>
      <w:proofErr w:type="spellEnd"/>
      <w:r w:rsidR="00CF4FA3" w:rsidRPr="00CF4FA3">
        <w:rPr>
          <w:sz w:val="20"/>
          <w:szCs w:val="20"/>
        </w:rPr>
        <w:t xml:space="preserve"> (Mart. </w:t>
      </w:r>
      <w:proofErr w:type="spellStart"/>
      <w:r w:rsidR="00CF4FA3" w:rsidRPr="00CF4FA3">
        <w:rPr>
          <w:sz w:val="20"/>
          <w:szCs w:val="20"/>
        </w:rPr>
        <w:t>ex</w:t>
      </w:r>
      <w:proofErr w:type="spellEnd"/>
      <w:r w:rsidR="00CF4FA3" w:rsidRPr="00CF4FA3">
        <w:rPr>
          <w:sz w:val="20"/>
          <w:szCs w:val="20"/>
        </w:rPr>
        <w:t xml:space="preserve"> DC.) </w:t>
      </w:r>
      <w:proofErr w:type="spellStart"/>
      <w:r w:rsidR="00CF4FA3" w:rsidRPr="00CF4FA3">
        <w:rPr>
          <w:sz w:val="20"/>
          <w:szCs w:val="20"/>
        </w:rPr>
        <w:t>Standl</w:t>
      </w:r>
      <w:proofErr w:type="spellEnd"/>
      <w:r w:rsidR="00CF4FA3" w:rsidRPr="00CF4FA3">
        <w:rPr>
          <w:sz w:val="20"/>
          <w:szCs w:val="20"/>
        </w:rPr>
        <w:t xml:space="preserve">. e </w:t>
      </w:r>
      <w:r w:rsidR="00CF4FA3" w:rsidRPr="00C83133">
        <w:rPr>
          <w:i/>
          <w:sz w:val="20"/>
          <w:szCs w:val="20"/>
        </w:rPr>
        <w:t xml:space="preserve">Tabebuia </w:t>
      </w:r>
      <w:proofErr w:type="spellStart"/>
      <w:r w:rsidR="00CF4FA3" w:rsidRPr="00C83133">
        <w:rPr>
          <w:i/>
          <w:sz w:val="20"/>
          <w:szCs w:val="20"/>
        </w:rPr>
        <w:t>roseo</w:t>
      </w:r>
      <w:proofErr w:type="spellEnd"/>
      <w:r w:rsidR="00CF4FA3" w:rsidRPr="00C83133">
        <w:rPr>
          <w:i/>
          <w:sz w:val="20"/>
          <w:szCs w:val="20"/>
        </w:rPr>
        <w:t>-alba</w:t>
      </w:r>
      <w:r w:rsidR="00CF4FA3" w:rsidRPr="00CF4FA3">
        <w:rPr>
          <w:sz w:val="20"/>
          <w:szCs w:val="20"/>
        </w:rPr>
        <w:t xml:space="preserve"> (</w:t>
      </w:r>
      <w:proofErr w:type="spellStart"/>
      <w:r w:rsidR="00CF4FA3" w:rsidRPr="00CF4FA3">
        <w:rPr>
          <w:sz w:val="20"/>
          <w:szCs w:val="20"/>
        </w:rPr>
        <w:t>Ridl</w:t>
      </w:r>
      <w:proofErr w:type="spellEnd"/>
      <w:r w:rsidR="00CF4FA3" w:rsidRPr="00CF4FA3">
        <w:rPr>
          <w:sz w:val="20"/>
          <w:szCs w:val="20"/>
        </w:rPr>
        <w:t xml:space="preserve">) </w:t>
      </w:r>
      <w:proofErr w:type="spellStart"/>
      <w:r w:rsidR="00CF4FA3" w:rsidRPr="00CF4FA3">
        <w:rPr>
          <w:sz w:val="20"/>
          <w:szCs w:val="20"/>
        </w:rPr>
        <w:t>Sand</w:t>
      </w:r>
      <w:proofErr w:type="spellEnd"/>
      <w:r w:rsidR="00CF4FA3" w:rsidRPr="00CF4FA3">
        <w:rPr>
          <w:sz w:val="20"/>
          <w:szCs w:val="20"/>
        </w:rPr>
        <w:t xml:space="preserve"> – </w:t>
      </w:r>
      <w:proofErr w:type="spellStart"/>
      <w:r w:rsidR="00CF4FA3" w:rsidRPr="00CF4FA3">
        <w:rPr>
          <w:sz w:val="20"/>
          <w:szCs w:val="20"/>
        </w:rPr>
        <w:t>Bignoniaceae</w:t>
      </w:r>
      <w:proofErr w:type="spellEnd"/>
      <w:r w:rsidR="00CF4FA3" w:rsidRPr="00CF4FA3">
        <w:rPr>
          <w:sz w:val="20"/>
          <w:szCs w:val="20"/>
        </w:rPr>
        <w:t xml:space="preserve">. </w:t>
      </w:r>
      <w:r w:rsidR="00CF4FA3" w:rsidRPr="00BC6783">
        <w:rPr>
          <w:b/>
          <w:sz w:val="20"/>
          <w:szCs w:val="20"/>
        </w:rPr>
        <w:t>Ciência Florestal</w:t>
      </w:r>
      <w:r w:rsidR="00CF4FA3" w:rsidRPr="00CF4FA3">
        <w:rPr>
          <w:sz w:val="20"/>
          <w:szCs w:val="20"/>
        </w:rPr>
        <w:t xml:space="preserve">, v.15, n.1, p.87-92. </w:t>
      </w:r>
      <w:r w:rsidR="00BC6783" w:rsidRPr="00BC6783">
        <w:rPr>
          <w:sz w:val="20"/>
          <w:szCs w:val="20"/>
        </w:rPr>
        <w:t>2005.</w:t>
      </w:r>
    </w:p>
    <w:p w:rsidR="00CF4FA3" w:rsidRPr="00CF4FA3" w:rsidRDefault="00CF4FA3" w:rsidP="00CF04DF">
      <w:pPr>
        <w:spacing w:after="0" w:line="240" w:lineRule="auto"/>
        <w:rPr>
          <w:b/>
          <w:sz w:val="20"/>
          <w:szCs w:val="20"/>
        </w:rPr>
      </w:pPr>
    </w:p>
    <w:p w:rsidR="00CF4FA3" w:rsidRPr="005D3995" w:rsidRDefault="005D3995" w:rsidP="00CF04DF">
      <w:pPr>
        <w:spacing w:after="0" w:line="240" w:lineRule="auto"/>
        <w:ind w:left="709" w:hanging="709"/>
        <w:jc w:val="both"/>
        <w:rPr>
          <w:sz w:val="20"/>
          <w:szCs w:val="20"/>
          <w:lang w:val="en-US"/>
        </w:rPr>
      </w:pPr>
      <w:r w:rsidRPr="00CF4FA3">
        <w:rPr>
          <w:sz w:val="20"/>
          <w:szCs w:val="20"/>
        </w:rPr>
        <w:t>TAKATA</w:t>
      </w:r>
      <w:r w:rsidR="00CF4FA3" w:rsidRPr="00CF4FA3">
        <w:rPr>
          <w:sz w:val="20"/>
          <w:szCs w:val="20"/>
        </w:rPr>
        <w:t xml:space="preserve">, W. </w:t>
      </w:r>
      <w:r w:rsidR="00CF4FA3" w:rsidRPr="005D3995">
        <w:rPr>
          <w:sz w:val="20"/>
          <w:szCs w:val="20"/>
        </w:rPr>
        <w:t xml:space="preserve">et </w:t>
      </w:r>
      <w:proofErr w:type="gramStart"/>
      <w:r w:rsidR="00CF4FA3" w:rsidRPr="005D3995">
        <w:rPr>
          <w:sz w:val="20"/>
          <w:szCs w:val="20"/>
        </w:rPr>
        <w:t>al.</w:t>
      </w:r>
      <w:r w:rsidR="00CF4FA3" w:rsidRPr="00CF4FA3">
        <w:rPr>
          <w:sz w:val="20"/>
          <w:szCs w:val="20"/>
        </w:rPr>
        <w:t>.</w:t>
      </w:r>
      <w:proofErr w:type="gramEnd"/>
      <w:r w:rsidR="00CF4FA3" w:rsidRPr="00CF4FA3">
        <w:rPr>
          <w:sz w:val="20"/>
          <w:szCs w:val="20"/>
        </w:rPr>
        <w:t xml:space="preserve"> Germinação de sementes de romãzeiras (</w:t>
      </w:r>
      <w:bookmarkStart w:id="0" w:name="_GoBack"/>
      <w:r w:rsidR="00CF4FA3" w:rsidRPr="00C83133">
        <w:rPr>
          <w:i/>
          <w:sz w:val="20"/>
          <w:szCs w:val="20"/>
        </w:rPr>
        <w:t xml:space="preserve">Punica </w:t>
      </w:r>
      <w:proofErr w:type="spellStart"/>
      <w:r w:rsidR="00CF4FA3" w:rsidRPr="00C83133">
        <w:rPr>
          <w:i/>
          <w:sz w:val="20"/>
          <w:szCs w:val="20"/>
        </w:rPr>
        <w:t>granatum</w:t>
      </w:r>
      <w:proofErr w:type="spellEnd"/>
      <w:r w:rsidR="00CF4FA3" w:rsidRPr="00CF4FA3">
        <w:rPr>
          <w:sz w:val="20"/>
          <w:szCs w:val="20"/>
        </w:rPr>
        <w:t xml:space="preserve"> </w:t>
      </w:r>
      <w:bookmarkEnd w:id="0"/>
      <w:r w:rsidR="00CF4FA3" w:rsidRPr="00CF4FA3">
        <w:rPr>
          <w:sz w:val="20"/>
          <w:szCs w:val="20"/>
        </w:rPr>
        <w:t xml:space="preserve">L.) de acordo com a concentração de giberelina. </w:t>
      </w:r>
      <w:r w:rsidR="00CF4FA3" w:rsidRPr="005D3995">
        <w:rPr>
          <w:b/>
          <w:sz w:val="20"/>
          <w:szCs w:val="20"/>
        </w:rPr>
        <w:t>Revista Brasileira de Fruticultura</w:t>
      </w:r>
      <w:r w:rsidR="00CF4FA3" w:rsidRPr="00CF4FA3">
        <w:rPr>
          <w:b/>
          <w:sz w:val="20"/>
          <w:szCs w:val="20"/>
        </w:rPr>
        <w:t>.</w:t>
      </w:r>
      <w:r w:rsidR="00CF4FA3" w:rsidRPr="00CF4FA3">
        <w:rPr>
          <w:sz w:val="20"/>
          <w:szCs w:val="20"/>
        </w:rPr>
        <w:t xml:space="preserve"> </w:t>
      </w:r>
      <w:proofErr w:type="spellStart"/>
      <w:r w:rsidR="00CF4FA3" w:rsidRPr="005D3995">
        <w:rPr>
          <w:sz w:val="20"/>
          <w:szCs w:val="20"/>
          <w:lang w:val="en-US"/>
        </w:rPr>
        <w:t>Jaboticabal</w:t>
      </w:r>
      <w:proofErr w:type="spellEnd"/>
      <w:r w:rsidR="00CF4FA3" w:rsidRPr="005D3995">
        <w:rPr>
          <w:sz w:val="20"/>
          <w:szCs w:val="20"/>
          <w:lang w:val="en-US"/>
        </w:rPr>
        <w:t xml:space="preserve"> - SP. v. 36, n 1, p 254-260.</w:t>
      </w:r>
      <w:r w:rsidRPr="005D3995">
        <w:rPr>
          <w:sz w:val="20"/>
          <w:szCs w:val="20"/>
          <w:lang w:val="en-US"/>
        </w:rPr>
        <w:t xml:space="preserve"> 2014</w:t>
      </w:r>
      <w:r w:rsidR="00CF04DF">
        <w:rPr>
          <w:sz w:val="20"/>
          <w:szCs w:val="20"/>
          <w:lang w:val="en-US"/>
        </w:rPr>
        <w:t>.</w:t>
      </w:r>
    </w:p>
    <w:p w:rsidR="00CF4FA3" w:rsidRPr="005D3995" w:rsidRDefault="00CF4FA3" w:rsidP="00CF4FA3">
      <w:pPr>
        <w:spacing w:after="0" w:line="240" w:lineRule="auto"/>
        <w:ind w:left="709" w:hanging="709"/>
        <w:jc w:val="both"/>
        <w:rPr>
          <w:sz w:val="20"/>
          <w:szCs w:val="20"/>
          <w:lang w:val="en-US"/>
        </w:rPr>
      </w:pPr>
    </w:p>
    <w:p w:rsidR="00CF4FA3" w:rsidRDefault="00CF4FA3" w:rsidP="00CF4FA3">
      <w:pPr>
        <w:spacing w:after="0" w:line="240" w:lineRule="auto"/>
        <w:ind w:left="709" w:hanging="709"/>
        <w:rPr>
          <w:b/>
        </w:rPr>
      </w:pPr>
    </w:p>
    <w:sectPr w:rsidR="00CF4FA3" w:rsidSect="00BC6783">
      <w:footnotePr>
        <w:pos w:val="beneathText"/>
      </w:footnotePr>
      <w:type w:val="continuous"/>
      <w:pgSz w:w="11905" w:h="16837"/>
      <w:pgMar w:top="2268" w:right="1134" w:bottom="1417" w:left="1417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50D" w:rsidRDefault="00CD650D">
      <w:pPr>
        <w:spacing w:after="0" w:line="240" w:lineRule="auto"/>
      </w:pPr>
      <w:r>
        <w:separator/>
      </w:r>
    </w:p>
  </w:endnote>
  <w:endnote w:type="continuationSeparator" w:id="0">
    <w:p w:rsidR="00CD650D" w:rsidRDefault="00CD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decorative"/>
    <w:pitch w:val="default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07" w:rsidRDefault="00004629">
    <w:pPr>
      <w:pStyle w:val="Rodap"/>
      <w:ind w:right="360"/>
      <w:rPr>
        <w:rFonts w:ascii="Tahoma" w:hAnsi="Tahoma"/>
        <w:sz w:val="18"/>
        <w:szCs w:val="18"/>
      </w:rPr>
    </w:pPr>
    <w:r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6D09B7" wp14:editId="3E1A7837">
              <wp:simplePos x="0" y="0"/>
              <wp:positionH relativeFrom="column">
                <wp:posOffset>-36195</wp:posOffset>
              </wp:positionH>
              <wp:positionV relativeFrom="paragraph">
                <wp:posOffset>116840</wp:posOffset>
              </wp:positionV>
              <wp:extent cx="5775960" cy="0"/>
              <wp:effectExtent l="11430" t="12065" r="13335" b="698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9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B85F77A" id="Line 2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2pt" to="451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" strokeweight=".26mm">
              <v:stroke joinstyle="miter"/>
            </v:line>
          </w:pict>
        </mc:Fallback>
      </mc:AlternateContent>
    </w:r>
    <w:r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829B71" wp14:editId="65920023">
              <wp:simplePos x="0" y="0"/>
              <wp:positionH relativeFrom="column">
                <wp:posOffset>-36195</wp:posOffset>
              </wp:positionH>
              <wp:positionV relativeFrom="paragraph">
                <wp:posOffset>116840</wp:posOffset>
              </wp:positionV>
              <wp:extent cx="5775960" cy="0"/>
              <wp:effectExtent l="11430" t="12065" r="13335" b="698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96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DB456D" id="Line 6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2pt" to="451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" strokeweight=".26mm">
              <v:stroke joinstyle="miter"/>
            </v:line>
          </w:pict>
        </mc:Fallback>
      </mc:AlternateContent>
    </w:r>
  </w:p>
  <w:p w:rsidR="00222907" w:rsidRDefault="00004629">
    <w:pPr>
      <w:pStyle w:val="Rodap"/>
      <w:ind w:right="360"/>
      <w:jc w:val="right"/>
      <w:rPr>
        <w:sz w:val="18"/>
        <w:szCs w:val="18"/>
        <w:lang w:eastAsia="pt-BR"/>
      </w:rPr>
    </w:pPr>
    <w:r>
      <w:rPr>
        <w:sz w:val="18"/>
        <w:szCs w:val="18"/>
        <w:lang w:eastAsia="pt-BR"/>
      </w:rPr>
      <w:t>SEAGRO: Anais de Semana Acadêmica do Curso de Agronomia do CCAE/UFES, v. 2, n.1, 2018</w:t>
    </w:r>
  </w:p>
  <w:p w:rsidR="00222907" w:rsidRDefault="00004629">
    <w:pPr>
      <w:pStyle w:val="Rodap"/>
      <w:ind w:right="360"/>
      <w:jc w:val="right"/>
      <w:rPr>
        <w:rFonts w:ascii="Tahoma" w:hAnsi="Tahoma"/>
        <w:sz w:val="20"/>
      </w:rPr>
    </w:pPr>
    <w:r>
      <w:rPr>
        <w:sz w:val="18"/>
        <w:szCs w:val="18"/>
        <w:lang w:eastAsia="pt-BR"/>
      </w:rPr>
      <w:t xml:space="preserve"> ISSN: 2594-4452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50D" w:rsidRDefault="00CD650D">
      <w:pPr>
        <w:spacing w:after="0" w:line="240" w:lineRule="auto"/>
      </w:pPr>
      <w:r>
        <w:separator/>
      </w:r>
    </w:p>
  </w:footnote>
  <w:footnote w:type="continuationSeparator" w:id="0">
    <w:p w:rsidR="00CD650D" w:rsidRDefault="00CD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07" w:rsidRDefault="00004629">
    <w:pPr>
      <w:pStyle w:val="Cabealho"/>
      <w:ind w:left="-567" w:right="-569"/>
      <w:jc w:val="center"/>
    </w:pPr>
    <w:r>
      <w:rPr>
        <w:noProof/>
        <w:lang w:eastAsia="pt-BR"/>
      </w:rPr>
      <w:drawing>
        <wp:inline distT="0" distB="0" distL="114300" distR="114300" wp14:anchorId="591BF36F" wp14:editId="2056C916">
          <wp:extent cx="5760085" cy="828675"/>
          <wp:effectExtent l="0" t="0" r="12065" b="9525"/>
          <wp:docPr id="2" name="Picture 2" descr="cabeç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abeçár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 w:tentative="1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7BD"/>
    <w:rsid w:val="F6EF1D54"/>
    <w:rsid w:val="00004629"/>
    <w:rsid w:val="0006433E"/>
    <w:rsid w:val="00075DB4"/>
    <w:rsid w:val="000833BB"/>
    <w:rsid w:val="0009438C"/>
    <w:rsid w:val="00094C7E"/>
    <w:rsid w:val="000A242E"/>
    <w:rsid w:val="000C1C9A"/>
    <w:rsid w:val="000E2E71"/>
    <w:rsid w:val="000F3168"/>
    <w:rsid w:val="000F5194"/>
    <w:rsid w:val="00106F35"/>
    <w:rsid w:val="00121D58"/>
    <w:rsid w:val="00143081"/>
    <w:rsid w:val="00156CED"/>
    <w:rsid w:val="0016022F"/>
    <w:rsid w:val="00172835"/>
    <w:rsid w:val="00173D5B"/>
    <w:rsid w:val="00177939"/>
    <w:rsid w:val="00195BC0"/>
    <w:rsid w:val="001B51E7"/>
    <w:rsid w:val="001D5E3B"/>
    <w:rsid w:val="001F7A02"/>
    <w:rsid w:val="00204627"/>
    <w:rsid w:val="002207F4"/>
    <w:rsid w:val="00222907"/>
    <w:rsid w:val="00246676"/>
    <w:rsid w:val="0027187B"/>
    <w:rsid w:val="00272669"/>
    <w:rsid w:val="00276636"/>
    <w:rsid w:val="0028407F"/>
    <w:rsid w:val="00287B87"/>
    <w:rsid w:val="002D5CF5"/>
    <w:rsid w:val="0036169E"/>
    <w:rsid w:val="003747D4"/>
    <w:rsid w:val="004140DC"/>
    <w:rsid w:val="00455F3C"/>
    <w:rsid w:val="004712F8"/>
    <w:rsid w:val="0049206C"/>
    <w:rsid w:val="004B14A0"/>
    <w:rsid w:val="004C331B"/>
    <w:rsid w:val="004D1BE7"/>
    <w:rsid w:val="004E79C8"/>
    <w:rsid w:val="004F65EF"/>
    <w:rsid w:val="00536694"/>
    <w:rsid w:val="00537E9B"/>
    <w:rsid w:val="0055020A"/>
    <w:rsid w:val="00556364"/>
    <w:rsid w:val="00573368"/>
    <w:rsid w:val="0059539C"/>
    <w:rsid w:val="005C6E98"/>
    <w:rsid w:val="005D29CC"/>
    <w:rsid w:val="005D3995"/>
    <w:rsid w:val="005E04F9"/>
    <w:rsid w:val="005E21CA"/>
    <w:rsid w:val="005F62F0"/>
    <w:rsid w:val="0061151F"/>
    <w:rsid w:val="006342ED"/>
    <w:rsid w:val="00641264"/>
    <w:rsid w:val="006D30CC"/>
    <w:rsid w:val="006D3C31"/>
    <w:rsid w:val="006E708E"/>
    <w:rsid w:val="00710BBC"/>
    <w:rsid w:val="00716A5E"/>
    <w:rsid w:val="00717EE1"/>
    <w:rsid w:val="00722482"/>
    <w:rsid w:val="007500E6"/>
    <w:rsid w:val="007676D6"/>
    <w:rsid w:val="007B25B9"/>
    <w:rsid w:val="007D0741"/>
    <w:rsid w:val="00805DA6"/>
    <w:rsid w:val="00824F43"/>
    <w:rsid w:val="00842C27"/>
    <w:rsid w:val="00846F4D"/>
    <w:rsid w:val="00862950"/>
    <w:rsid w:val="008646D2"/>
    <w:rsid w:val="008809B3"/>
    <w:rsid w:val="00884010"/>
    <w:rsid w:val="008A1F1B"/>
    <w:rsid w:val="008C62CA"/>
    <w:rsid w:val="008E2348"/>
    <w:rsid w:val="008E2568"/>
    <w:rsid w:val="00900C9F"/>
    <w:rsid w:val="009136EB"/>
    <w:rsid w:val="00914C12"/>
    <w:rsid w:val="00914DD4"/>
    <w:rsid w:val="00922233"/>
    <w:rsid w:val="00947A78"/>
    <w:rsid w:val="0098219A"/>
    <w:rsid w:val="00994CDB"/>
    <w:rsid w:val="00994D91"/>
    <w:rsid w:val="009D07C2"/>
    <w:rsid w:val="009F1199"/>
    <w:rsid w:val="00A1431F"/>
    <w:rsid w:val="00A14F00"/>
    <w:rsid w:val="00A24F2A"/>
    <w:rsid w:val="00A575C8"/>
    <w:rsid w:val="00A628B5"/>
    <w:rsid w:val="00A64AA4"/>
    <w:rsid w:val="00A807F0"/>
    <w:rsid w:val="00A86F5D"/>
    <w:rsid w:val="00AB2BAF"/>
    <w:rsid w:val="00AC1F29"/>
    <w:rsid w:val="00AD4E72"/>
    <w:rsid w:val="00B0609D"/>
    <w:rsid w:val="00B06647"/>
    <w:rsid w:val="00B10EB0"/>
    <w:rsid w:val="00B234A0"/>
    <w:rsid w:val="00B9277A"/>
    <w:rsid w:val="00B9635B"/>
    <w:rsid w:val="00BB1FA9"/>
    <w:rsid w:val="00BB78B0"/>
    <w:rsid w:val="00BC4C81"/>
    <w:rsid w:val="00BC6783"/>
    <w:rsid w:val="00BD33D8"/>
    <w:rsid w:val="00BE76B3"/>
    <w:rsid w:val="00C03724"/>
    <w:rsid w:val="00C0400B"/>
    <w:rsid w:val="00C6321C"/>
    <w:rsid w:val="00C65914"/>
    <w:rsid w:val="00C678B2"/>
    <w:rsid w:val="00C75FF9"/>
    <w:rsid w:val="00C80C64"/>
    <w:rsid w:val="00C83133"/>
    <w:rsid w:val="00CA57BD"/>
    <w:rsid w:val="00CD650D"/>
    <w:rsid w:val="00CF04DF"/>
    <w:rsid w:val="00CF4FA3"/>
    <w:rsid w:val="00D00E08"/>
    <w:rsid w:val="00D0623C"/>
    <w:rsid w:val="00D35866"/>
    <w:rsid w:val="00D429ED"/>
    <w:rsid w:val="00D645A1"/>
    <w:rsid w:val="00D73F6C"/>
    <w:rsid w:val="00D84A55"/>
    <w:rsid w:val="00DD4914"/>
    <w:rsid w:val="00DE2293"/>
    <w:rsid w:val="00DF15A3"/>
    <w:rsid w:val="00DF2488"/>
    <w:rsid w:val="00DF6C27"/>
    <w:rsid w:val="00E01936"/>
    <w:rsid w:val="00E05B66"/>
    <w:rsid w:val="00E136F9"/>
    <w:rsid w:val="00E32BEA"/>
    <w:rsid w:val="00E35941"/>
    <w:rsid w:val="00E652C3"/>
    <w:rsid w:val="00E8011E"/>
    <w:rsid w:val="00E913DD"/>
    <w:rsid w:val="00E97B01"/>
    <w:rsid w:val="00EA1039"/>
    <w:rsid w:val="00EB3B8D"/>
    <w:rsid w:val="00F347B3"/>
    <w:rsid w:val="00F729F3"/>
    <w:rsid w:val="00F86DAD"/>
    <w:rsid w:val="00FA0564"/>
    <w:rsid w:val="00FE0A64"/>
    <w:rsid w:val="00FE29E7"/>
    <w:rsid w:val="3F8A2517"/>
    <w:rsid w:val="47FFC53F"/>
    <w:rsid w:val="75F7057B"/>
    <w:rsid w:val="76DFE003"/>
    <w:rsid w:val="7AFE0BC4"/>
    <w:rsid w:val="7FF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9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Corpodetexto3">
    <w:name w:val="Body Text 3"/>
    <w:basedOn w:val="Normal"/>
    <w:unhideWhenUsed/>
    <w:pPr>
      <w:spacing w:after="120"/>
    </w:pPr>
    <w:rPr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rPr>
      <w:color w:val="800080"/>
      <w:u w:val="single"/>
    </w:rPr>
  </w:style>
  <w:style w:type="character" w:styleId="Nmerodelinha">
    <w:name w:val="line number"/>
    <w:basedOn w:val="Fontepargpadro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itulodoResumo">
    <w:name w:val="Titulo do Resumo"/>
    <w:basedOn w:val="Normal"/>
    <w:pPr>
      <w:jc w:val="center"/>
    </w:pPr>
    <w:rPr>
      <w:rFonts w:ascii="Arial" w:hAnsi="Arial" w:cs="Arial"/>
      <w:b/>
      <w:bCs/>
    </w:rPr>
  </w:style>
  <w:style w:type="paragraph" w:customStyle="1" w:styleId="nomeautoreseorientadores">
    <w:name w:val="nome autores e orientadores"/>
    <w:basedOn w:val="Normal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Pr>
      <w:rFonts w:ascii="Arial" w:hAnsi="Arial" w:cs="Arial"/>
      <w:sz w:val="20"/>
    </w:rPr>
  </w:style>
  <w:style w:type="paragraph" w:customStyle="1" w:styleId="Endereos">
    <w:name w:val="Endereços"/>
    <w:basedOn w:val="Normal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Pr>
      <w:rFonts w:ascii="Arial" w:hAnsi="Arial" w:cs="Arial"/>
      <w:sz w:val="20"/>
    </w:rPr>
  </w:style>
  <w:style w:type="paragraph" w:customStyle="1" w:styleId="Resumo">
    <w:name w:val="Resumo"/>
    <w:basedOn w:val="Cabealho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  <w:lang w:eastAsia="ar-SA"/>
    </w:rPr>
  </w:style>
  <w:style w:type="paragraph" w:customStyle="1" w:styleId="BATitle">
    <w:name w:val="BA_Title"/>
    <w:basedOn w:val="Normal"/>
    <w:next w:val="Normal"/>
    <w:rsid w:val="00F347B3"/>
    <w:pPr>
      <w:suppressAutoHyphens w:val="0"/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bCs/>
      <w:sz w:val="44"/>
      <w:szCs w:val="44"/>
      <w:lang w:val="en-US" w:eastAsia="pt-BR"/>
    </w:rPr>
  </w:style>
  <w:style w:type="paragraph" w:customStyle="1" w:styleId="BCAuthorAddress">
    <w:name w:val="BC_Author_Address"/>
    <w:basedOn w:val="Normal"/>
    <w:next w:val="Normal"/>
    <w:rsid w:val="00CF4FA3"/>
    <w:pPr>
      <w:suppressAutoHyphens w:val="0"/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sz w:val="20"/>
      <w:szCs w:val="20"/>
      <w:lang w:val="en-US" w:eastAsia="pt-BR"/>
    </w:rPr>
  </w:style>
  <w:style w:type="paragraph" w:customStyle="1" w:styleId="TAMainText">
    <w:name w:val="TA_Main_Text"/>
    <w:basedOn w:val="Normal"/>
    <w:rsid w:val="00CF4FA3"/>
    <w:pPr>
      <w:suppressAutoHyphens w:val="0"/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hAnsi="Times" w:cs="Times"/>
      <w:sz w:val="20"/>
      <w:szCs w:val="20"/>
      <w:lang w:val="en-US" w:eastAsia="pt-BR"/>
    </w:rPr>
  </w:style>
  <w:style w:type="paragraph" w:customStyle="1" w:styleId="TableContents">
    <w:name w:val="Table Contents"/>
    <w:basedOn w:val="Normal"/>
    <w:rsid w:val="00CF4FA3"/>
    <w:pPr>
      <w:suppressLineNumber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A4">
    <w:name w:val="A4"/>
    <w:uiPriority w:val="99"/>
    <w:rsid w:val="00CF4FA3"/>
    <w:rPr>
      <w:color w:val="000000"/>
      <w:sz w:val="20"/>
      <w:szCs w:val="20"/>
    </w:rPr>
  </w:style>
  <w:style w:type="paragraph" w:customStyle="1" w:styleId="SemEspaamento1">
    <w:name w:val="Sem Espaçamento1"/>
    <w:rsid w:val="00CF4FA3"/>
    <w:pPr>
      <w:suppressAutoHyphens/>
      <w:spacing w:after="0" w:line="240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Pa10">
    <w:name w:val="Pa10"/>
    <w:basedOn w:val="Normal"/>
    <w:next w:val="Normal"/>
    <w:uiPriority w:val="99"/>
    <w:rsid w:val="00CF4FA3"/>
    <w:pPr>
      <w:suppressAutoHyphens w:val="0"/>
      <w:autoSpaceDE w:val="0"/>
      <w:spacing w:before="120" w:after="0" w:line="241" w:lineRule="atLeast"/>
    </w:pPr>
    <w:rPr>
      <w:rFonts w:ascii="Calibri" w:eastAsia="Calibri" w:hAnsi="Calibri"/>
      <w:kern w:val="1"/>
      <w:lang w:eastAsia="zh-CN"/>
    </w:rPr>
  </w:style>
  <w:style w:type="paragraph" w:customStyle="1" w:styleId="Default">
    <w:name w:val="Default"/>
    <w:rsid w:val="00CF4FA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tramedepaulo@gmail.com" TargetMode="External"/><Relationship Id="rId13" Type="http://schemas.openxmlformats.org/officeDocument/2006/relationships/hyperlink" Target="mailto:lucaslmioss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1andrieliferrari10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ciliahoffayagr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ngelicacoutocorre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.grazzioti@hot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2017-08-01T10:47:00Z</dcterms:created>
  <dcterms:modified xsi:type="dcterms:W3CDTF">2018-06-29T22:21:00Z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