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BATitle"/>
        <w:spacing w:lineRule="auto" w:line="240" w:before="0" w:after="0"/>
        <w:ind w:right="0" w:hanging="0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  <w:t>HÚMUS EM MISTURA AO SUBSTRATO NA EMERGÊNCIA E DESENVOLVIMENTO INICIAL DE PLÂNTULAS DA PALMEIRA AÇAÍ</w:t>
      </w:r>
    </w:p>
    <w:p>
      <w:pPr>
        <w:pStyle w:val="Normal"/>
        <w:rPr>
          <w:lang w:eastAsia="pt-BR"/>
        </w:rPr>
      </w:pPr>
      <w:r>
        <w:rPr>
          <w:lang w:eastAsia="pt-BR"/>
        </w:rPr>
      </w:r>
    </w:p>
    <w:p>
      <w:pPr>
        <w:pStyle w:val="Normal"/>
        <w:spacing w:lineRule="auto" w:line="240" w:before="0" w:after="0"/>
        <w:jc w:val="center"/>
        <w:rPr>
          <w:b/>
          <w:b/>
          <w:lang w:val="en-US"/>
        </w:rPr>
      </w:pPr>
      <w:r>
        <w:rPr>
          <w:b/>
          <w:lang w:val="en-US"/>
        </w:rPr>
        <w:t>HUSSES IN MIXTURE TO SUBSTRATE IN THE EMERGENCY AND INITIAL DEVELOPMENT OF AÇAÍ PALM SEEDLINGS</w:t>
      </w:r>
    </w:p>
    <w:p>
      <w:pPr>
        <w:pStyle w:val="Normal"/>
        <w:spacing w:lineRule="auto" w:line="240" w:before="0" w:after="0"/>
        <w:jc w:val="center"/>
        <w:rPr>
          <w:b/>
          <w:b/>
          <w:lang w:val="en-US"/>
        </w:rPr>
      </w:pPr>
      <w:r>
        <w:rPr>
          <w:b/>
          <w:lang w:val="en-US"/>
        </w:rPr>
      </w:r>
    </w:p>
    <w:p>
      <w:pPr>
        <w:pStyle w:val="Normal"/>
        <w:spacing w:lineRule="auto" w:line="240" w:before="0" w:after="0"/>
        <w:jc w:val="center"/>
        <w:rPr>
          <w:b/>
          <w:b/>
          <w:vertAlign w:val="superscript"/>
        </w:rPr>
      </w:pPr>
      <w:r>
        <w:rPr>
          <w:b/>
        </w:rPr>
        <w:t>Angelica Couto Correa</w:t>
      </w:r>
      <w:r>
        <w:rPr>
          <w:b/>
          <w:vertAlign w:val="superscript"/>
        </w:rPr>
        <w:t>1</w:t>
      </w:r>
      <w:r>
        <w:rPr>
          <w:b/>
        </w:rPr>
        <w:t>, Helio Pena de Faria Junior</w:t>
      </w:r>
      <w:r>
        <w:rPr>
          <w:b/>
          <w:vertAlign w:val="superscript"/>
        </w:rPr>
        <w:t>2</w:t>
      </w:r>
      <w:r>
        <w:rPr>
          <w:b/>
        </w:rPr>
        <w:t>, Marcus Vinicius Sandoval Paixão</w:t>
      </w:r>
      <w:r>
        <w:rPr>
          <w:b/>
          <w:vertAlign w:val="superscript"/>
        </w:rPr>
        <w:t xml:space="preserve"> 3</w:t>
      </w:r>
      <w:r>
        <w:rPr>
          <w:b/>
        </w:rPr>
        <w:t xml:space="preserve">, </w:t>
      </w:r>
      <w:bookmarkStart w:id="0" w:name="__DdeLink__1263_463537251"/>
      <w:r>
        <w:rPr>
          <w:b/>
        </w:rPr>
        <w:t>Brunella Neumeg Sperandio</w:t>
      </w:r>
      <w:bookmarkEnd w:id="0"/>
      <w:r>
        <w:rPr>
          <w:b/>
          <w:vertAlign w:val="superscript"/>
        </w:rPr>
        <w:t>4</w:t>
      </w:r>
      <w:r>
        <w:rPr>
          <w:b/>
        </w:rPr>
        <w:t>, Gabriela Reges da Silva</w:t>
      </w:r>
      <w:r>
        <w:rPr>
          <w:b/>
          <w:vertAlign w:val="superscript"/>
        </w:rPr>
        <w:t>5</w:t>
      </w:r>
      <w:r>
        <w:rPr>
          <w:b/>
        </w:rPr>
        <w:t>, Oriana Carla Tomazelli</w:t>
      </w:r>
      <w:r>
        <w:rPr>
          <w:b/>
          <w:vertAlign w:val="superscript"/>
        </w:rPr>
        <w:t>6</w:t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>Istituto Federal do Espírito Santo,</w:t>
      </w:r>
      <w:r>
        <w:rPr>
          <w:sz w:val="20"/>
          <w:szCs w:val="20"/>
          <w:shd w:fill="FFFFFF" w:val="clear"/>
        </w:rPr>
        <w:t xml:space="preserve"> 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  <w:shd w:fill="FFFFFF" w:val="clear"/>
        </w:rPr>
        <w:t xml:space="preserve">angelicacoutocorrea@gmail.com, 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  <w:shd w:fill="FFFFFF" w:val="clear"/>
        </w:rPr>
        <w:t>hpena@bol.com.br</w:t>
      </w:r>
      <w:r>
        <w:rPr>
          <w:sz w:val="20"/>
          <w:szCs w:val="20"/>
        </w:rPr>
        <w:t xml:space="preserve">, </w:t>
      </w:r>
      <w:r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mvspaixao@gmail.com</w:t>
      </w:r>
      <w:r>
        <w:rPr>
          <w:color w:val="00000A"/>
          <w:sz w:val="20"/>
          <w:szCs w:val="20"/>
          <w:u w:val="none"/>
          <w:shd w:fill="FFFFFF" w:val="clear"/>
        </w:rPr>
        <w:t xml:space="preserve">, </w:t>
      </w:r>
      <w:r>
        <w:rPr>
          <w:sz w:val="20"/>
          <w:szCs w:val="20"/>
          <w:vertAlign w:val="superscript"/>
        </w:rPr>
        <w:t>4</w:t>
      </w:r>
      <w:r>
        <w:rPr>
          <w:color w:val="00000A"/>
          <w:sz w:val="20"/>
          <w:szCs w:val="20"/>
          <w:shd w:fill="FFFFFF" w:val="clear"/>
        </w:rPr>
        <w:t>brunellaneumegsperandio@gmail.com</w:t>
      </w:r>
      <w:r>
        <w:rPr>
          <w:color w:val="00000A"/>
          <w:sz w:val="20"/>
          <w:szCs w:val="20"/>
          <w:u w:val="none"/>
          <w:shd w:fill="FFFFFF" w:val="clear"/>
        </w:rPr>
        <w:t xml:space="preserve">, </w:t>
      </w:r>
      <w:r>
        <w:rPr>
          <w:sz w:val="20"/>
          <w:szCs w:val="20"/>
          <w:vertAlign w:val="superscript"/>
        </w:rPr>
        <w:t>5</w:t>
      </w:r>
      <w:r>
        <w:rPr>
          <w:sz w:val="20"/>
          <w:szCs w:val="20"/>
        </w:rPr>
        <w:t xml:space="preserve">gabriela-reges@hotmail.com, </w:t>
      </w:r>
      <w:r>
        <w:rPr>
          <w:sz w:val="20"/>
          <w:szCs w:val="20"/>
          <w:vertAlign w:val="superscript"/>
        </w:rPr>
        <w:t>6</w:t>
      </w:r>
      <w:r>
        <w:rPr>
          <w:sz w:val="20"/>
          <w:szCs w:val="20"/>
        </w:rPr>
        <w:t xml:space="preserve">oriana.carla@hotmail.com </w:t>
      </w:r>
    </w:p>
    <w:p>
      <w:pPr>
        <w:pStyle w:val="Endereos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Endereos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Apresentado na           </w:t>
      </w:r>
    </w:p>
    <w:p>
      <w:pPr>
        <w:pStyle w:val="Endereos"/>
        <w:rPr/>
      </w:pPr>
      <w:r>
        <w:rPr>
          <w:rFonts w:cs="Times New Roman" w:ascii="Times New Roman" w:hAnsi="Times New Roman"/>
        </w:rPr>
        <w:t xml:space="preserve">29ª Semana </w:t>
      </w:r>
      <w:r>
        <w:rPr>
          <w:rFonts w:cs="Times New Roman" w:ascii="Times New Roman" w:hAnsi="Times New Roman"/>
        </w:rPr>
        <w:t>Agronômica</w:t>
      </w:r>
      <w:r>
        <w:rPr>
          <w:rFonts w:cs="Times New Roman" w:ascii="Times New Roman" w:hAnsi="Times New Roman"/>
        </w:rPr>
        <w:t xml:space="preserve"> do CCAE/UFES - SEAGRO 2018</w:t>
      </w:r>
    </w:p>
    <w:p>
      <w:pPr>
        <w:pStyle w:val="Endereos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17 à 21 de Setembro de 2018, Alegre - ES, Brasil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</w:rPr>
      </w:pPr>
      <w:r>
        <w:rPr>
          <w:sz w:val="20"/>
        </w:rPr>
      </w:r>
    </w:p>
    <w:p>
      <w:pPr>
        <w:pStyle w:val="SemEspaamento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RESUMO -</w:t>
      </w:r>
      <w:r>
        <w:rPr>
          <w:rFonts w:cs="Times New Roman" w:ascii="Times New Roman" w:hAnsi="Times New Roman"/>
          <w:sz w:val="20"/>
          <w:szCs w:val="20"/>
        </w:rPr>
        <w:t xml:space="preserve"> A palmeira </w:t>
      </w:r>
      <w:r>
        <w:rPr>
          <w:rFonts w:cs="Times New Roman" w:ascii="Times New Roman" w:hAnsi="Times New Roman"/>
          <w:i/>
          <w:sz w:val="20"/>
          <w:szCs w:val="20"/>
        </w:rPr>
        <w:t>Euterpe oleracea</w:t>
      </w:r>
      <w:r>
        <w:rPr>
          <w:rFonts w:cs="Times New Roman" w:ascii="Times New Roman" w:hAnsi="Times New Roman"/>
          <w:sz w:val="20"/>
          <w:szCs w:val="20"/>
        </w:rPr>
        <w:t xml:space="preserve"> (Mart.), conhecida como açaizeiro tem se destacado economicamente pelo potencial mercadológico de seus produtos, representados, principalmente, pelo palmito e pelo suco extraído do fruto</w:t>
      </w:r>
      <w:r>
        <w:rPr>
          <w:rFonts w:cs="Times New Roman" w:ascii="Times New Roman" w:hAnsi="Times New Roman"/>
          <w:sz w:val="20"/>
          <w:szCs w:val="20"/>
          <w:shd w:fill="FFFFFF" w:val="clear"/>
        </w:rPr>
        <w:t xml:space="preserve">. </w:t>
      </w:r>
      <w:r>
        <w:rPr>
          <w:rFonts w:cs="Times New Roman" w:ascii="Times New Roman" w:hAnsi="Times New Roman"/>
          <w:sz w:val="20"/>
          <w:szCs w:val="20"/>
        </w:rPr>
        <w:t>O objetivo foi testar o efeito da mistura de húmus em diferentes substratos na emergência e desenvolvimento inicial das plântulas da palmeira açaí. As sementes foram semeadas em tubetes, capacidade 280 mL, na proporção de 3:1, nos seguintes substratos: areia; areia+húmus; terra; terra+ húmus; bioplant</w:t>
      </w:r>
      <w:r>
        <w:rPr>
          <w:rFonts w:cs="Times New Roman" w:ascii="Times New Roman" w:hAnsi="Times New Roman"/>
          <w:sz w:val="20"/>
          <w:szCs w:val="20"/>
          <w:vertAlign w:val="superscript"/>
        </w:rPr>
        <w:t>®</w:t>
      </w:r>
      <w:r>
        <w:rPr>
          <w:rFonts w:cs="Times New Roman" w:ascii="Times New Roman" w:hAnsi="Times New Roman"/>
          <w:sz w:val="20"/>
          <w:szCs w:val="20"/>
        </w:rPr>
        <w:t>; bioplant</w:t>
      </w:r>
      <w:r>
        <w:rPr>
          <w:rFonts w:cs="Times New Roman" w:ascii="Times New Roman" w:hAnsi="Times New Roman"/>
          <w:sz w:val="20"/>
          <w:szCs w:val="20"/>
          <w:vertAlign w:val="superscript"/>
        </w:rPr>
        <w:t>®</w:t>
      </w:r>
      <w:r>
        <w:rPr>
          <w:rFonts w:cs="Times New Roman" w:ascii="Times New Roman" w:hAnsi="Times New Roman"/>
          <w:sz w:val="20"/>
          <w:szCs w:val="20"/>
        </w:rPr>
        <w:t>+ húmus; Vermiculita; Vermiculita+húmus. O experimento foi preparado em blocos casualizados (DBC), com oito tratamentos e quatro repetições, sendo que cada unidade experimental foi composta por cinquenta sementes. Trinta dias após emergência da primeira plântula foi avaliada a porcentagem de emergência. Sessenta dias após emergência da primeira plântula, foi avaliado o número de folhas; diâmetro do coleto; comprimento da raiz; altura da parte aérea, sendo selecionadas dez plantas por tratamento em cada bloco. O húmus</w:t>
      </w:r>
      <w:r>
        <w:rPr>
          <w:rFonts w:cs="Times New Roman" w:ascii="Times New Roman" w:hAnsi="Times New Roman"/>
          <w:sz w:val="20"/>
          <w:szCs w:val="20"/>
          <w:vertAlign w:val="superscript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misturado ao substrato melhorou a emergência e desenvolvimento inicial de plântulas de açaí, podendo ser recomendado para esta espécie.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417" w:right="1134" w:header="624" w:top="2268" w:footer="720" w:bottom="1417" w:gutter="0"/>
          <w:pgNumType w:fmt="decimal"/>
          <w:formProt w:val="false"/>
          <w:textDirection w:val="lrTb"/>
          <w:docGrid w:type="default" w:linePitch="360" w:charSpace="4294961151"/>
        </w:sectPr>
      </w:pPr>
    </w:p>
    <w:p>
      <w:pPr>
        <w:pStyle w:val="Normal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PALAVRAS-CHAVE: </w:t>
      </w:r>
      <w:r>
        <w:rPr>
          <w:i/>
          <w:sz w:val="20"/>
          <w:szCs w:val="20"/>
        </w:rPr>
        <w:t>Euterpe oleracea</w:t>
      </w:r>
      <w:r>
        <w:rPr>
          <w:sz w:val="20"/>
          <w:szCs w:val="20"/>
        </w:rPr>
        <w:t xml:space="preserve"> ;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Muda;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Palmito.</w:t>
      </w:r>
      <w:r>
        <w:rPr>
          <w:b/>
          <w:sz w:val="20"/>
          <w:szCs w:val="20"/>
        </w:rPr>
        <w:t xml:space="preserve"> </w:t>
      </w:r>
    </w:p>
    <w:p>
      <w:pPr>
        <w:pStyle w:val="HTMLPreformatted"/>
        <w:shd w:val="clear" w:color="auto" w:fill="FFFFFF"/>
        <w:rPr>
          <w:rFonts w:ascii="Times New Roman" w:hAnsi="Times New Roman" w:cs="Times New Roman"/>
          <w:color w:val="212121"/>
          <w:lang w:val="en-US"/>
        </w:rPr>
      </w:pPr>
      <w:r>
        <w:rPr>
          <w:rFonts w:cs="Times New Roman" w:ascii="Times New Roman" w:hAnsi="Times New Roman"/>
          <w:b/>
          <w:bCs/>
          <w:lang w:val="en-US"/>
        </w:rPr>
        <w:t>KEYWORDS:</w:t>
      </w:r>
      <w:r>
        <w:rPr>
          <w:rFonts w:cs="Times New Roman" w:ascii="Times New Roman" w:hAnsi="Times New Roman"/>
          <w:lang w:val="en-US"/>
        </w:rPr>
        <w:t xml:space="preserve"> </w:t>
      </w:r>
      <w:r>
        <w:rPr>
          <w:rFonts w:cs="Times New Roman" w:ascii="Times New Roman" w:hAnsi="Times New Roman"/>
          <w:i/>
          <w:lang w:val="en-US"/>
        </w:rPr>
        <w:t xml:space="preserve">Euterpe oleracea; </w:t>
      </w:r>
      <w:r>
        <w:rPr>
          <w:rFonts w:cs="Times New Roman" w:ascii="Times New Roman" w:hAnsi="Times New Roman"/>
          <w:color w:val="212121"/>
          <w:lang w:val="en"/>
        </w:rPr>
        <w:t>Mute; Palm heart.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SEÇÃO: </w:t>
      </w:r>
      <w:r>
        <w:rPr>
          <w:sz w:val="20"/>
          <w:szCs w:val="20"/>
        </w:rPr>
        <w:t>Fitotecnia</w:t>
      </w:r>
    </w:p>
    <w:p>
      <w:pPr>
        <w:pStyle w:val="Normal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INTRODUÇÃO</w:t>
      </w:r>
    </w:p>
    <w:p>
      <w:pPr>
        <w:pStyle w:val="Normal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palmeira </w:t>
      </w:r>
      <w:r>
        <w:rPr>
          <w:i/>
          <w:sz w:val="20"/>
          <w:szCs w:val="20"/>
        </w:rPr>
        <w:t>Euterpe oleracea</w:t>
      </w:r>
      <w:r>
        <w:rPr>
          <w:sz w:val="20"/>
          <w:szCs w:val="20"/>
        </w:rPr>
        <w:t xml:space="preserve"> (Mart.), conhecida como açaizeiro tem se destacado economicamente pelo potencial mercadológico de seus produtos, representados, principalmente, pelo palmito e pelo suco extraído do fruto (NASCIMENTO et al</w:t>
      </w:r>
      <w:r>
        <w:rPr>
          <w:i/>
          <w:sz w:val="20"/>
          <w:szCs w:val="20"/>
        </w:rPr>
        <w:t xml:space="preserve">., </w:t>
      </w:r>
      <w:r>
        <w:rPr>
          <w:sz w:val="20"/>
          <w:szCs w:val="20"/>
        </w:rPr>
        <w:t>2010).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sz w:val="20"/>
          <w:szCs w:val="20"/>
          <w:shd w:fill="FFFFFF" w:val="clear"/>
        </w:rPr>
        <w:t>O açaí ou açaizeiro é uma palmeira </w:t>
      </w:r>
      <w:hyperlink r:id="rId4">
        <w:r>
          <w:rPr>
            <w:rStyle w:val="LinkdaInternet"/>
            <w:color w:val="00000A"/>
            <w:sz w:val="20"/>
            <w:szCs w:val="20"/>
            <w:highlight w:val="white"/>
            <w:u w:val="none"/>
          </w:rPr>
          <w:t>nativa</w:t>
        </w:r>
      </w:hyperlink>
      <w:r>
        <w:rPr>
          <w:sz w:val="20"/>
          <w:szCs w:val="20"/>
          <w:shd w:fill="FFFFFF" w:val="clear"/>
        </w:rPr>
        <w:t> da região amazônica, cujos frutinhos, são amplamente consumidos pela população local e vem conquistando o Brasil e o resto do mundo nas últimas décadas. Ela é bastante semelhante à</w:t>
      </w:r>
      <w:hyperlink r:id="rId5">
        <w:r>
          <w:rPr>
            <w:rStyle w:val="LinkdaInternet"/>
            <w:color w:val="000000"/>
            <w:sz w:val="20"/>
            <w:szCs w:val="20"/>
            <w:highlight w:val="white"/>
            <w:u w:val="none"/>
          </w:rPr>
          <w:t> palmeira-jussara (</w:t>
        </w:r>
        <w:r>
          <w:rPr>
            <w:rStyle w:val="Nfase"/>
            <w:color w:val="000000"/>
            <w:sz w:val="20"/>
            <w:szCs w:val="20"/>
            <w:highlight w:val="white"/>
          </w:rPr>
          <w:t>Euterpe edulis</w:t>
        </w:r>
        <w:r>
          <w:rPr>
            <w:rStyle w:val="LinkdaInternet"/>
            <w:color w:val="000000"/>
            <w:sz w:val="20"/>
            <w:szCs w:val="20"/>
            <w:highlight w:val="white"/>
            <w:u w:val="none"/>
          </w:rPr>
          <w:t>)</w:t>
        </w:r>
      </w:hyperlink>
      <w:r>
        <w:rPr>
          <w:sz w:val="20"/>
          <w:szCs w:val="20"/>
          <w:shd w:fill="FFFFFF" w:val="clear"/>
        </w:rPr>
        <w:t xml:space="preserve">, mas diferencia-se desta por ser entouceirada, geralmente apresentando mais de 4 estipes por planta, enquanto a juçara é uma palmeira de estipe único. Cada estipe é fino e </w:t>
      </w:r>
      <w:r>
        <w:rPr>
          <w:color w:val="191716"/>
          <w:sz w:val="20"/>
          <w:szCs w:val="20"/>
          <w:shd w:fill="FFFFFF" w:val="clear"/>
        </w:rPr>
        <w:t>elegante, atingindo cerca de 14 cm de diâmetro, com córtex de cor acinzentada e palmito alongado e comestível, recoberto pelas bainhas foliares, de cor verde azulada. Do topo do palmito surgem as folhas, pinadas, glabras e pendentes, com aproximadamente um metro de comprimento. Por seu comportamento cespitoso, o açaí não morre após o corte de um dos seus palmitos. Isso acontece por que há mais de um estipe por planta, o que permite sua regeneração, ao contrário da palmeira-juçara, que não tem essa capacidade de se regenerar. Seus frutos podem ser consumidos </w:t>
      </w:r>
      <w:r>
        <w:rPr>
          <w:rStyle w:val="Nfase"/>
          <w:color w:val="191716"/>
          <w:sz w:val="20"/>
          <w:szCs w:val="20"/>
          <w:shd w:fill="FFFFFF" w:val="clear"/>
        </w:rPr>
        <w:t>in natura</w:t>
      </w:r>
      <w:r>
        <w:rPr>
          <w:color w:val="191716"/>
          <w:sz w:val="20"/>
          <w:szCs w:val="20"/>
          <w:shd w:fill="FFFFFF" w:val="clear"/>
        </w:rPr>
        <w:t>, embora seja muito mais frequente sua utilização na forma de polpa congelada, na criação de nutritivas e saborosas preparações, que vão de sucos, mingaus com farinha, molhos, vinhos, geleias, etc.  (PATRO, 2017).</w:t>
      </w:r>
    </w:p>
    <w:p>
      <w:pPr>
        <w:pStyle w:val="Normal"/>
        <w:spacing w:lineRule="auto" w:line="240" w:before="0" w:after="0"/>
        <w:ind w:firstLine="708"/>
        <w:jc w:val="both"/>
        <w:rPr>
          <w:color w:val="191716"/>
          <w:sz w:val="20"/>
          <w:szCs w:val="20"/>
          <w:highlight w:val="white"/>
        </w:rPr>
      </w:pPr>
      <w:r>
        <w:rPr>
          <w:sz w:val="20"/>
          <w:szCs w:val="20"/>
        </w:rPr>
        <w:t xml:space="preserve">O gênero Euterpe consta de 49 espécies distribuídas na América do Sul e Central. As maiores concentrações ocorrem na Colômbia, (19 espécies), Brasil (10 espécies) e Venezuela (9 espécies) Das espécies que são encontradas no Brasil, somente a </w:t>
      </w:r>
      <w:r>
        <w:rPr>
          <w:i/>
          <w:sz w:val="20"/>
          <w:szCs w:val="20"/>
        </w:rPr>
        <w:t>Euterpe edulis</w:t>
      </w:r>
      <w:r>
        <w:rPr>
          <w:sz w:val="20"/>
          <w:szCs w:val="20"/>
        </w:rPr>
        <w:t xml:space="preserve"> e a </w:t>
      </w:r>
      <w:r>
        <w:rPr>
          <w:i/>
          <w:sz w:val="20"/>
          <w:szCs w:val="20"/>
        </w:rPr>
        <w:t>Euterpe oleraceae</w:t>
      </w:r>
      <w:r>
        <w:rPr>
          <w:sz w:val="20"/>
          <w:szCs w:val="20"/>
        </w:rPr>
        <w:t xml:space="preserve"> são exploradas economicamente (VILLACHICA, 1996).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Uma das principais dificuldades no cultivo de mudas de açaizeiro em escala comercial é a dificuldade encontrada na germinação de suas sementes, normalmente lenta e desuniforme. Citações em diversas literaturas mostram porcentagens de germinação inferiores a 60%, e com tempo de permanência das sementes no solo de até 270 dias.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Os substratos utilizados na germinação de sementes são fundamentais para o sucesso desta etapa de propagação das plantas. Eles podem influenciar o processo germinativo tendo em vista que fatores que podem favorecer ou prejudicar a germinação, como a estrutura, aeração, capacidade de retenção de água e grau de infestação por patógenos, variam conforme o substrato utilizado (POPINIGIS, 1985). No caso da germinação de sementes de palmeiras, recomenda-se que o substrato utilizado deva garantir boa drenagem e, ao mesmo tempo, ser capaz de reter umidade. Isso é importante porque substratos que retém pouca umidade ou que ficam excessivamente úmidos por longo período prejudicam as sementes durante a germinação. Da mesma forma, devem-se evitar substratos com partículas excessivamente grandes e com tendência a se quebrar com as irrigações repetidas (MEEROW &amp; BROSCHAT, 2012).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O sucesso de diferentes plantios depende, entre outros fatores, do conhecimento do comportamento das diferentes sementes e da produção de mudas que sejam capazes de resistirem às condições adversas do meio (SANTOS et al., 2008).</w:t>
      </w:r>
    </w:p>
    <w:p>
      <w:pPr>
        <w:pStyle w:val="Normal"/>
        <w:spacing w:lineRule="auto" w:line="240" w:before="0" w:after="0"/>
        <w:ind w:firstLine="708"/>
        <w:jc w:val="both"/>
        <w:rPr>
          <w:b/>
          <w:b/>
          <w:sz w:val="20"/>
          <w:szCs w:val="20"/>
        </w:rPr>
      </w:pPr>
      <w:r>
        <w:rPr>
          <w:sz w:val="20"/>
          <w:szCs w:val="20"/>
        </w:rPr>
        <w:t>Segundo Scalon et al</w:t>
      </w:r>
      <w:r>
        <w:rPr>
          <w:i/>
          <w:sz w:val="20"/>
          <w:szCs w:val="20"/>
        </w:rPr>
        <w:t>.</w:t>
      </w:r>
      <w:r>
        <w:rPr>
          <w:sz w:val="20"/>
          <w:szCs w:val="20"/>
        </w:rPr>
        <w:t xml:space="preserve"> (1993), o substrato tem grande influência no processo germinativo, pois fatores como aeração, estrutura, capacidade de retenção de água, entre outros, podem variar de um substrato para outro, favorecendo ou prejudicando a germinação de sementes. No caso das palmeiras ainda são pouco conhecidas as condições ótimas para a germinação das sementes e os substratos mais adequados para a produção de mudas, fato que representa uma barreira para inserir a mesma no mercado de espécies de uso ornamental e paisagístico (BARBOSA et al., 2011).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ab/>
        <w:t>O objetivo foi testar o efeito da mistura de húmus em diferentes substratos na emergência e desenvolvimento inicial das plântulas da palmeira açaí.</w:t>
      </w:r>
    </w:p>
    <w:p>
      <w:pPr>
        <w:pStyle w:val="Normal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MATERIAL E MÉTODOS</w:t>
      </w:r>
    </w:p>
    <w:p>
      <w:pPr>
        <w:pStyle w:val="Normal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Pa10"/>
        <w:spacing w:lineRule="auto" w:line="240" w:before="0" w:after="160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 experimento foi conduzido no viveiro de produção de mudas, coberto com tela de poliolefina com 50% de sombreamento, situado no setor de fruticultura do Instituto Federal do Espírito Santo (Ifes-Campus Santa Teresa), no período de janeiro de 2017 a dezembro de 2017, localizado na meso região Central Espírito-Santense, município de Santa Teresa-ES, coordenadas geográficas (19</w:t>
      </w:r>
      <w:r>
        <w:rPr>
          <w:rFonts w:ascii="Times New Roman" w:hAnsi="Times New Roman"/>
          <w:sz w:val="20"/>
          <w:szCs w:val="20"/>
          <w:vertAlign w:val="superscript"/>
        </w:rPr>
        <w:t>o</w:t>
      </w:r>
      <w:r>
        <w:rPr>
          <w:rFonts w:ascii="Times New Roman" w:hAnsi="Times New Roman"/>
          <w:sz w:val="20"/>
          <w:szCs w:val="20"/>
        </w:rPr>
        <w:t>48’21”S, e 40º40’44”W), altitude de 155 metros. O clima da região caracteriza-se como Cwa, mesotérmico, com estação seca no inverno e forte pluviosidade no verão (classifi</w:t>
        <w:softHyphen/>
        <w:t>cação de Köppen), com precipitação anual média de 1.404,2 mm e temperatura média anual local de 24°C, com máxima de 32,8 °C e mínima de 10,6 °C (INCAPER, 2011).</w:t>
      </w:r>
    </w:p>
    <w:p>
      <w:pPr>
        <w:pStyle w:val="SemEspaamento1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Foram utilizadas sementes de açaí (</w:t>
      </w:r>
      <w:r>
        <w:rPr>
          <w:rFonts w:cs="Times New Roman" w:ascii="Times New Roman" w:hAnsi="Times New Roman"/>
          <w:i/>
          <w:sz w:val="20"/>
          <w:szCs w:val="20"/>
        </w:rPr>
        <w:t>Euterpe oleracea</w:t>
      </w:r>
      <w:r>
        <w:rPr>
          <w:rFonts w:cs="Times New Roman" w:ascii="Times New Roman" w:hAnsi="Times New Roman"/>
          <w:sz w:val="20"/>
          <w:szCs w:val="20"/>
        </w:rPr>
        <w:t>) colhidas na região do instituto, semeadas em tubetes, capacidade 280 mL, onde testou-se o efeito da mistura de húmus</w:t>
      </w:r>
      <w:r>
        <w:rPr>
          <w:rFonts w:cs="Times New Roman" w:ascii="Times New Roman" w:hAnsi="Times New Roman"/>
          <w:sz w:val="20"/>
          <w:szCs w:val="20"/>
          <w:vertAlign w:val="superscript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a diferentes substratos na proporção de 3:1, para estímulo  á emergência e desenvolvimento inicial das plântulas, sendo os tratamentos: areia; areia+húmus; terra; terra+ húmus; bioplant</w:t>
      </w:r>
      <w:r>
        <w:rPr>
          <w:rFonts w:cs="Times New Roman" w:ascii="Times New Roman" w:hAnsi="Times New Roman"/>
          <w:sz w:val="20"/>
          <w:szCs w:val="20"/>
          <w:vertAlign w:val="superscript"/>
        </w:rPr>
        <w:t>®</w:t>
      </w:r>
      <w:r>
        <w:rPr>
          <w:rFonts w:cs="Times New Roman" w:ascii="Times New Roman" w:hAnsi="Times New Roman"/>
          <w:sz w:val="20"/>
          <w:szCs w:val="20"/>
        </w:rPr>
        <w:t>; bioplant</w:t>
      </w:r>
      <w:r>
        <w:rPr>
          <w:rFonts w:cs="Times New Roman" w:ascii="Times New Roman" w:hAnsi="Times New Roman"/>
          <w:sz w:val="20"/>
          <w:szCs w:val="20"/>
          <w:vertAlign w:val="superscript"/>
        </w:rPr>
        <w:t>®</w:t>
      </w:r>
      <w:r>
        <w:rPr>
          <w:rFonts w:cs="Times New Roman" w:ascii="Times New Roman" w:hAnsi="Times New Roman"/>
          <w:sz w:val="20"/>
          <w:szCs w:val="20"/>
        </w:rPr>
        <w:t>+ húmus; Vermiculita; Vermiculita+húmus.</w:t>
      </w:r>
    </w:p>
    <w:p>
      <w:pPr>
        <w:pStyle w:val="Normal"/>
        <w:spacing w:lineRule="auto" w:line="240" w:before="0" w:after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O experimento foi preparado em quatro blocos casualizados (DBC), com oito tratamentos e quatro repetições, sendo que cada unidade experimental foi composta por vinte e cinco sementes.</w:t>
      </w:r>
    </w:p>
    <w:p>
      <w:pPr>
        <w:pStyle w:val="SemEspaamento1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Trinta dias após emergência da primeira plântula foi avaliada a porcentagem de emergência (E). Sessenta dias após emergência da primeira plântula, foram avaliadas as variáveis: número de folhas (NF); diâmetro do coleto (DC); comprimento da raiz (CR); altura da parte aérea (AP) sendo selecionadas para avaliação, dez plantas por tratamento em cada bloco.</w:t>
      </w:r>
    </w:p>
    <w:p>
      <w:pPr>
        <w:pStyle w:val="SemEspaamento1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  <w:t>Os dados experimentais foram submetidos aos testes de Shapiro-Wilks (p&lt;0,05), para verificação da normalidade e</w:t>
      </w:r>
      <w:r>
        <w:rPr>
          <w:rFonts w:cs="Times New Roman" w:ascii="Times New Roman" w:hAnsi="Times New Roman"/>
          <w:sz w:val="20"/>
          <w:szCs w:val="20"/>
        </w:rPr>
        <w:t xml:space="preserve"> à análise de variância, sendo as médias de cada característica comparadas pelo teste de Tukey em nível de 5% de probabilidade com auxilio do programa R.</w:t>
      </w:r>
    </w:p>
    <w:p>
      <w:pPr>
        <w:pStyle w:val="Normal"/>
        <w:spacing w:lineRule="auto" w:line="240" w:before="0" w:after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RESULTADOS E DISCUSSÃO</w:t>
      </w:r>
    </w:p>
    <w:p>
      <w:pPr>
        <w:pStyle w:val="Normal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Aos 25 dias foi observada a emergência da primeira plântula 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acordo com a tabela 1, pode-se observar que ao misturar o </w:t>
      </w:r>
      <w:r>
        <w:rPr>
          <w:bCs/>
          <w:sz w:val="20"/>
          <w:szCs w:val="20"/>
        </w:rPr>
        <w:t>húmus</w:t>
      </w:r>
      <w:r>
        <w:rPr>
          <w:sz w:val="20"/>
          <w:szCs w:val="20"/>
          <w:vertAlign w:val="superscript"/>
        </w:rPr>
        <w:t xml:space="preserve"> </w:t>
      </w:r>
      <w:r>
        <w:rPr>
          <w:sz w:val="20"/>
          <w:szCs w:val="20"/>
        </w:rPr>
        <w:t xml:space="preserve">nos substratos, podemos observar uma melhora em todas as variáveis avaliadas. 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Na avaliação da emergência, houve melhora em todos os substratos, sendo que, devido à alta emergência no bioplant</w:t>
      </w:r>
      <w:r>
        <w:rPr>
          <w:sz w:val="20"/>
          <w:szCs w:val="20"/>
          <w:vertAlign w:val="superscript"/>
        </w:rPr>
        <w:t>®</w:t>
      </w:r>
      <w:r>
        <w:rPr>
          <w:sz w:val="20"/>
          <w:szCs w:val="20"/>
        </w:rPr>
        <w:t>, este substrato não apresentou diferença estatística, também na areia o húmus não alterou a porcentagem de germinação.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Na avaliação da altura da planta, números de folhas, diâmetro do coleto e comprimento da raiz, também podem observar que ao misturar o húmus aos substratos, todas as variáveis apresentam índices superiores ao substrato puro, mostrando a eficiência do húmus, com diferença significativa para os outros tratamentos (Tabela 1). 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Meerow &amp; Broschat (2012) que afirmam ser dispensável a inclusão de adubos nos substratos utilizados para a germinação de sementes de palmeiras tendo em vista que da germinação até a formação da plântula, o responsável pelo fornecimento de nutrientes é o endosperma. Os resultados apresentados discordam do que indica o autor, em todas as variáveis foi observada a melhoria dos índices quando misturamos o húmus aos substratos, visto que este atuou positivamente na emergência e no desenvolvimento inicial das plântulas de açaí. 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shd w:fill="FFFFFF" w:val="clear"/>
        </w:rPr>
        <w:t>Os substratos com vermiculita e areia são inertes (não reagem no sistema) e por isso são usados geralmente em hidroponia devido proporcionar um bom desenvolvimento das plantas e um saudável estado fitossanitário de hortaliças e na floricultura, associados a uma</w:t>
      </w:r>
      <w:r>
        <w:rPr>
          <w:color w:val="FF0000"/>
          <w:sz w:val="20"/>
          <w:szCs w:val="20"/>
          <w:shd w:fill="FFFFFF" w:val="clear"/>
        </w:rPr>
        <w:t xml:space="preserve"> </w:t>
      </w:r>
      <w:r>
        <w:rPr>
          <w:sz w:val="20"/>
          <w:szCs w:val="20"/>
          <w:shd w:fill="FFFFFF" w:val="clear"/>
        </w:rPr>
        <w:t>fertirrigação (CARRIJO </w:t>
      </w:r>
      <w:r>
        <w:rPr>
          <w:rStyle w:val="Nfase"/>
          <w:i w:val="false"/>
          <w:sz w:val="20"/>
          <w:szCs w:val="20"/>
        </w:rPr>
        <w:t>et al</w:t>
      </w:r>
      <w:r>
        <w:rPr>
          <w:sz w:val="20"/>
          <w:szCs w:val="20"/>
          <w:shd w:fill="FFFFFF" w:val="clear"/>
        </w:rPr>
        <w:t>., 2002). De acordo com os resultados da tabela 1, estes dois substratos, assim como os outros, apresentaram diferenças positivas no desenvolvimento das plântulas quando acrescentamos húmus na mistura. 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shd w:fill="FFFFFF" w:val="clear"/>
        </w:rPr>
        <w:t>Zanetti </w:t>
      </w:r>
      <w:r>
        <w:rPr>
          <w:rStyle w:val="Nfase"/>
          <w:i w:val="false"/>
          <w:sz w:val="20"/>
          <w:szCs w:val="20"/>
        </w:rPr>
        <w:t>et al</w:t>
      </w:r>
      <w:r>
        <w:rPr>
          <w:rStyle w:val="Nfase"/>
          <w:sz w:val="20"/>
          <w:szCs w:val="20"/>
        </w:rPr>
        <w:t>.</w:t>
      </w:r>
      <w:r>
        <w:rPr>
          <w:sz w:val="20"/>
          <w:szCs w:val="20"/>
          <w:shd w:fill="FFFFFF" w:val="clear"/>
        </w:rPr>
        <w:t> (2003) citam que efeito benéfico da mistura de dois ou mais substratos (+ adubo natural), sendo observado de forma positiva em inúmeros trabalhos, e esse tipo de substrato promove o melhor enraizamento, desenvolvimento, crescimento morfológico do vegetal e vigor.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color w:val="000000"/>
          <w:sz w:val="20"/>
          <w:szCs w:val="20"/>
          <w:shd w:fill="FFFFFF" w:val="clear"/>
        </w:rPr>
        <w:t>Corroborando com este trabalho, Furlan </w:t>
      </w:r>
      <w:r>
        <w:rPr>
          <w:rStyle w:val="Nfase"/>
          <w:i w:val="false"/>
          <w:color w:val="000000"/>
          <w:sz w:val="20"/>
          <w:szCs w:val="20"/>
        </w:rPr>
        <w:t>et al</w:t>
      </w:r>
      <w:r>
        <w:rPr>
          <w:rStyle w:val="Nfase"/>
          <w:color w:val="000000"/>
          <w:sz w:val="20"/>
          <w:szCs w:val="20"/>
        </w:rPr>
        <w:t xml:space="preserve">. </w:t>
      </w:r>
      <w:r>
        <w:rPr>
          <w:color w:val="000000"/>
          <w:sz w:val="20"/>
          <w:szCs w:val="20"/>
          <w:shd w:fill="FFFFFF" w:val="clear"/>
        </w:rPr>
        <w:t>(2003) utilizaram o composto orgânico de lixo urbano na formação de mudas de açaizeiro e mostraram que esse tipo de substrato influencia no processo germinativo e, consequentemente, no crescimento das mudas, assim como o adubo natural de sementes do açaizeiro simples ou em mistura.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andard"/>
        <w:spacing w:before="0" w:after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Tabela 1 – Emergência e desenvolvimento inicial de plântulas da palmeira açaí em diferentes substratos misturados ao fertilizante </w:t>
      </w:r>
      <w:r>
        <w:rPr>
          <w:rFonts w:cs="Times New Roman" w:ascii="Times New Roman" w:hAnsi="Times New Roman"/>
          <w:sz w:val="20"/>
          <w:szCs w:val="20"/>
        </w:rPr>
        <w:t>provaso</w:t>
      </w:r>
      <w:r>
        <w:rPr>
          <w:rFonts w:cs="Times New Roman" w:ascii="Times New Roman" w:hAnsi="Times New Roman"/>
          <w:sz w:val="20"/>
          <w:szCs w:val="20"/>
          <w:vertAlign w:val="superscript"/>
        </w:rPr>
        <w:t>®</w:t>
      </w:r>
    </w:p>
    <w:tbl>
      <w:tblPr>
        <w:tblW w:w="8843" w:type="dxa"/>
        <w:jc w:val="center"/>
        <w:tblInd w:w="0" w:type="dxa"/>
        <w:tblBorders>
          <w:top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606"/>
        <w:gridCol w:w="1247"/>
        <w:gridCol w:w="1247"/>
        <w:gridCol w:w="1247"/>
        <w:gridCol w:w="1247"/>
        <w:gridCol w:w="1248"/>
      </w:tblGrid>
      <w:tr>
        <w:trPr>
          <w:trHeight w:val="231" w:hRule="atLeast"/>
        </w:trPr>
        <w:tc>
          <w:tcPr>
            <w:tcW w:w="2606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TR</w:t>
            </w:r>
          </w:p>
        </w:tc>
        <w:tc>
          <w:tcPr>
            <w:tcW w:w="1247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E</w:t>
            </w:r>
          </w:p>
        </w:tc>
        <w:tc>
          <w:tcPr>
            <w:tcW w:w="1247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AP</w:t>
            </w:r>
          </w:p>
        </w:tc>
        <w:tc>
          <w:tcPr>
            <w:tcW w:w="1247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NF</w:t>
            </w:r>
          </w:p>
        </w:tc>
        <w:tc>
          <w:tcPr>
            <w:tcW w:w="1247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DC</w:t>
            </w:r>
          </w:p>
        </w:tc>
        <w:tc>
          <w:tcPr>
            <w:tcW w:w="1248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CR</w:t>
            </w:r>
          </w:p>
        </w:tc>
      </w:tr>
      <w:tr>
        <w:trPr>
          <w:trHeight w:val="257" w:hRule="atLeast"/>
        </w:trPr>
        <w:tc>
          <w:tcPr>
            <w:tcW w:w="2606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Areia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88 bc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9,71 c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1,3 c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3,50 c</w:t>
            </w:r>
          </w:p>
        </w:tc>
        <w:tc>
          <w:tcPr>
            <w:tcW w:w="1248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12,66 b</w:t>
            </w:r>
          </w:p>
        </w:tc>
      </w:tr>
      <w:tr>
        <w:trPr>
          <w:trHeight w:val="257" w:hRule="atLeast"/>
        </w:trPr>
        <w:tc>
          <w:tcPr>
            <w:tcW w:w="2606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Areia + húmus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88 bc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10,19 b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1,55 b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3,79 b</w:t>
            </w:r>
          </w:p>
        </w:tc>
        <w:tc>
          <w:tcPr>
            <w:tcW w:w="1248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17,94 a</w:t>
            </w:r>
          </w:p>
        </w:tc>
      </w:tr>
      <w:tr>
        <w:trPr>
          <w:trHeight w:val="245" w:hRule="atLeast"/>
        </w:trPr>
        <w:tc>
          <w:tcPr>
            <w:tcW w:w="2606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Terra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85 c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 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10,16 b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1,15 c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3,59 bc</w:t>
            </w:r>
          </w:p>
        </w:tc>
        <w:tc>
          <w:tcPr>
            <w:tcW w:w="1248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17,94 a</w:t>
            </w:r>
          </w:p>
        </w:tc>
      </w:tr>
      <w:tr>
        <w:trPr>
          <w:trHeight w:val="245" w:hRule="atLeast"/>
        </w:trPr>
        <w:tc>
          <w:tcPr>
            <w:tcW w:w="2606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Terra + húmus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92 a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val="en-US"/>
              </w:rPr>
              <w:t>12,57 a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1,8 ab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4,22 a</w:t>
            </w:r>
          </w:p>
        </w:tc>
        <w:tc>
          <w:tcPr>
            <w:tcW w:w="1248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18,15 a</w:t>
            </w:r>
          </w:p>
        </w:tc>
      </w:tr>
      <w:tr>
        <w:trPr>
          <w:trHeight w:val="245" w:hRule="atLeast"/>
        </w:trPr>
        <w:tc>
          <w:tcPr>
            <w:tcW w:w="2606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bioplant</w:t>
            </w:r>
            <w:r>
              <w:rPr>
                <w:rFonts w:cs="Times New Roman" w:ascii="Times New Roman" w:hAnsi="Times New Roman"/>
                <w:sz w:val="20"/>
                <w:szCs w:val="20"/>
                <w:vertAlign w:val="superscript"/>
              </w:rPr>
              <w:t>®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91 b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10,44 b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1,45 bc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3,72 bc</w:t>
            </w:r>
          </w:p>
        </w:tc>
        <w:tc>
          <w:tcPr>
            <w:tcW w:w="1248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17,89 a</w:t>
            </w:r>
          </w:p>
        </w:tc>
      </w:tr>
      <w:tr>
        <w:trPr>
          <w:trHeight w:val="245" w:hRule="atLeast"/>
        </w:trPr>
        <w:tc>
          <w:tcPr>
            <w:tcW w:w="2606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bioplant</w:t>
            </w:r>
            <w:r>
              <w:rPr>
                <w:rFonts w:cs="Times New Roman" w:ascii="Times New Roman" w:hAnsi="Times New Roman"/>
                <w:sz w:val="20"/>
                <w:szCs w:val="20"/>
                <w:vertAlign w:val="superscript"/>
              </w:rPr>
              <w:t xml:space="preserve">®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+ húmus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92 a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val="en-US"/>
              </w:rPr>
              <w:t>11,66 ab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2 a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4,36 a</w:t>
            </w:r>
          </w:p>
        </w:tc>
        <w:tc>
          <w:tcPr>
            <w:tcW w:w="1248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18,24 a</w:t>
            </w:r>
          </w:p>
        </w:tc>
      </w:tr>
      <w:tr>
        <w:trPr>
          <w:trHeight w:val="245" w:hRule="atLeast"/>
        </w:trPr>
        <w:tc>
          <w:tcPr>
            <w:tcW w:w="2606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Vermiculita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84 c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9,95 bc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 c</w:t>
            </w:r>
          </w:p>
        </w:tc>
        <w:tc>
          <w:tcPr>
            <w:tcW w:w="1247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3,56 bc</w:t>
            </w:r>
          </w:p>
        </w:tc>
        <w:tc>
          <w:tcPr>
            <w:tcW w:w="1248" w:type="dxa"/>
            <w:tcBorders/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17,24 b</w:t>
            </w:r>
          </w:p>
        </w:tc>
      </w:tr>
      <w:tr>
        <w:trPr>
          <w:trHeight w:val="245" w:hRule="atLeast"/>
        </w:trPr>
        <w:tc>
          <w:tcPr>
            <w:tcW w:w="2606" w:type="dxa"/>
            <w:tcBorders>
              <w:bottom w:val="single" w:sz="2" w:space="0" w:color="000000"/>
              <w:insideH w:val="single" w:sz="2" w:space="0" w:color="000000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Vermiculita + húmus</w:t>
            </w:r>
            <w:r>
              <w:rPr>
                <w:rFonts w:cs="Times New Roman" w:ascii="Times New Roman" w:hAnsi="Times New Roman"/>
                <w:sz w:val="20"/>
                <w:szCs w:val="20"/>
                <w:vertAlign w:val="superscript"/>
              </w:rPr>
              <w:t xml:space="preserve"> </w:t>
            </w:r>
          </w:p>
        </w:tc>
        <w:tc>
          <w:tcPr>
            <w:tcW w:w="1247" w:type="dxa"/>
            <w:tcBorders>
              <w:bottom w:val="single" w:sz="2" w:space="0" w:color="000000"/>
              <w:insideH w:val="single" w:sz="2" w:space="0" w:color="000000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89 bc</w:t>
            </w:r>
          </w:p>
        </w:tc>
        <w:tc>
          <w:tcPr>
            <w:tcW w:w="1247" w:type="dxa"/>
            <w:tcBorders>
              <w:bottom w:val="single" w:sz="2" w:space="0" w:color="000000"/>
              <w:insideH w:val="single" w:sz="2" w:space="0" w:color="000000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val="en-US"/>
              </w:rPr>
              <w:t>11,48 ab</w:t>
            </w:r>
          </w:p>
        </w:tc>
        <w:tc>
          <w:tcPr>
            <w:tcW w:w="1247" w:type="dxa"/>
            <w:tcBorders>
              <w:bottom w:val="single" w:sz="2" w:space="0" w:color="000000"/>
              <w:insideH w:val="single" w:sz="2" w:space="0" w:color="000000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1,9 a</w:t>
            </w:r>
          </w:p>
        </w:tc>
        <w:tc>
          <w:tcPr>
            <w:tcW w:w="1247" w:type="dxa"/>
            <w:tcBorders>
              <w:bottom w:val="single" w:sz="2" w:space="0" w:color="000000"/>
              <w:insideH w:val="single" w:sz="2" w:space="0" w:color="000000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4,55 a</w:t>
            </w:r>
          </w:p>
        </w:tc>
        <w:tc>
          <w:tcPr>
            <w:tcW w:w="1248" w:type="dxa"/>
            <w:tcBorders>
              <w:bottom w:val="single" w:sz="2" w:space="0" w:color="000000"/>
              <w:insideH w:val="single" w:sz="2" w:space="0" w:color="000000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17,31 b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>Médias, seguidas das mesmas letras nas colunas não diferem estatisticamente pelo teste de Tukey em 5% de probabilidade.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CONCLUSÃO</w:t>
      </w:r>
    </w:p>
    <w:p>
      <w:pPr>
        <w:pStyle w:val="Normal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O húmus</w:t>
      </w:r>
      <w:r>
        <w:rPr>
          <w:sz w:val="20"/>
          <w:szCs w:val="20"/>
          <w:vertAlign w:val="superscript"/>
        </w:rPr>
        <w:t xml:space="preserve"> </w:t>
      </w:r>
      <w:r>
        <w:rPr>
          <w:sz w:val="20"/>
          <w:szCs w:val="20"/>
        </w:rPr>
        <w:t xml:space="preserve">misturado ao substrato melhorou a emergência e desenvolvimento inicial de plântulas de açaí, podendo ser recomendado para esta espécie. </w:t>
      </w:r>
    </w:p>
    <w:p>
      <w:pPr>
        <w:pStyle w:val="TAMainText"/>
        <w:spacing w:lineRule="auto" w:line="240"/>
        <w:ind w:hanging="0"/>
        <w:rPr>
          <w:rFonts w:ascii="Times New Roman" w:hAnsi="Times New Roman" w:cs="Times New Roman"/>
          <w:lang w:val="pt-BR"/>
        </w:rPr>
      </w:pPr>
      <w:r>
        <w:rPr>
          <w:rFonts w:cs="Times New Roman" w:ascii="Times New Roman" w:hAnsi="Times New Roman"/>
          <w:lang w:val="pt-BR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REFERÊNCIAS</w:t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left" w:pos="709" w:leader="none"/>
        </w:tabs>
        <w:spacing w:lineRule="auto" w:line="240" w:before="0" w:after="0"/>
        <w:ind w:left="709" w:hanging="709"/>
        <w:contextualSpacing/>
        <w:jc w:val="both"/>
        <w:rPr>
          <w:sz w:val="20"/>
          <w:szCs w:val="20"/>
        </w:rPr>
      </w:pPr>
      <w:bookmarkStart w:id="1" w:name="__DdeLink__1197_662162943"/>
      <w:r>
        <w:rPr>
          <w:sz w:val="20"/>
          <w:szCs w:val="20"/>
        </w:rPr>
        <w:t xml:space="preserve">BARBOSA, C. S.; FIRMINO, J. L.; ALMEIDA, M. C.; MENDONÇA, C. C.; SILVA, G. M.; FERREIRA, E. J. L. Efeito de diferentes substratos na germinação de sementes da palmeira caranaí (Chelyocarpus chuco). In: Reunião Anual da SBPC, 63, 2011, Goiânia. </w:t>
      </w:r>
      <w:r>
        <w:rPr>
          <w:b/>
          <w:sz w:val="20"/>
          <w:szCs w:val="20"/>
        </w:rPr>
        <w:t>Anais eletrônicos</w:t>
      </w:r>
      <w:r>
        <w:rPr>
          <w:sz w:val="20"/>
          <w:szCs w:val="20"/>
        </w:rPr>
        <w:t>... Goiânia: Sociedade Brasileira para o Progresso da Ciência. 2011.</w:t>
      </w:r>
    </w:p>
    <w:p>
      <w:pPr>
        <w:pStyle w:val="Normal"/>
        <w:tabs>
          <w:tab w:val="left" w:pos="709" w:leader="none"/>
        </w:tabs>
        <w:spacing w:lineRule="auto" w:line="240" w:before="0" w:after="0"/>
        <w:ind w:left="709" w:hanging="709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left" w:pos="709" w:leader="none"/>
        </w:tabs>
        <w:spacing w:lineRule="auto" w:line="240" w:before="0" w:after="0"/>
        <w:ind w:left="709" w:hanging="709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BROSCHAT, T.K. Palm seed propagation. </w:t>
      </w:r>
      <w:r>
        <w:rPr>
          <w:b/>
          <w:sz w:val="20"/>
          <w:szCs w:val="20"/>
        </w:rPr>
        <w:t>Acta Horticulturae</w:t>
      </w:r>
      <w:r>
        <w:rPr>
          <w:sz w:val="20"/>
          <w:szCs w:val="20"/>
        </w:rPr>
        <w:t>, v.360, p.141-147. 1994.</w:t>
      </w:r>
    </w:p>
    <w:p>
      <w:pPr>
        <w:pStyle w:val="Normal"/>
        <w:tabs>
          <w:tab w:val="left" w:pos="709" w:leader="none"/>
        </w:tabs>
        <w:spacing w:lineRule="auto" w:line="240" w:before="0" w:after="0"/>
        <w:ind w:left="709" w:hanging="709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left" w:pos="709" w:leader="none"/>
        </w:tabs>
        <w:spacing w:lineRule="auto" w:line="240" w:before="0" w:after="0"/>
        <w:ind w:left="709" w:hanging="709"/>
        <w:contextualSpacing/>
        <w:jc w:val="both"/>
        <w:rPr>
          <w:sz w:val="20"/>
          <w:szCs w:val="20"/>
        </w:rPr>
      </w:pPr>
      <w:r>
        <w:rPr>
          <w:color w:val="000000"/>
          <w:sz w:val="20"/>
          <w:szCs w:val="20"/>
          <w:shd w:fill="FFFFFF" w:val="clear"/>
        </w:rPr>
        <w:t>CARRIJO, O. A.; LIZ, R. S.; MARISHIMA, N. Fibra da casca do coco verde como substrato agrícola. </w:t>
      </w:r>
      <w:r>
        <w:rPr>
          <w:rStyle w:val="Strong"/>
          <w:color w:val="000000"/>
          <w:sz w:val="20"/>
          <w:szCs w:val="20"/>
        </w:rPr>
        <w:t>Horticultura Brasileira</w:t>
      </w:r>
      <w:r>
        <w:rPr>
          <w:color w:val="000000"/>
          <w:sz w:val="20"/>
          <w:szCs w:val="20"/>
          <w:shd w:fill="FFFFFF" w:val="clear"/>
        </w:rPr>
        <w:t>, 20(4):01–06. 2002.</w:t>
      </w:r>
    </w:p>
    <w:p>
      <w:pPr>
        <w:pStyle w:val="Normal"/>
        <w:tabs>
          <w:tab w:val="left" w:pos="709" w:leader="none"/>
        </w:tabs>
        <w:spacing w:lineRule="auto" w:line="240" w:before="0" w:after="0"/>
        <w:ind w:left="709" w:hanging="709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left" w:pos="709" w:leader="none"/>
        </w:tabs>
        <w:spacing w:lineRule="auto" w:line="240" w:before="0" w:after="0"/>
        <w:ind w:left="709" w:hanging="709"/>
        <w:contextualSpacing/>
        <w:jc w:val="both"/>
        <w:rPr>
          <w:color w:val="000000"/>
          <w:sz w:val="20"/>
          <w:szCs w:val="20"/>
          <w:highlight w:val="white"/>
        </w:rPr>
      </w:pPr>
      <w:r>
        <w:rPr>
          <w:color w:val="000000"/>
          <w:sz w:val="20"/>
          <w:szCs w:val="20"/>
          <w:shd w:fill="FFFFFF" w:val="clear"/>
        </w:rPr>
        <w:t xml:space="preserve">FURLAN JUNIOR, J.; MULLER, C. H.; CARVALHO, J. E. U.; TEIXEIRA, L. B.; DUTRA, S. </w:t>
      </w:r>
      <w:r>
        <w:rPr>
          <w:b/>
          <w:color w:val="000000"/>
          <w:sz w:val="20"/>
          <w:szCs w:val="20"/>
          <w:shd w:fill="FFFFFF" w:val="clear"/>
        </w:rPr>
        <w:t>Composto orgânico de lixo urbano na formação de mudas de açaizeiro</w:t>
      </w:r>
      <w:r>
        <w:rPr>
          <w:color w:val="000000"/>
          <w:sz w:val="20"/>
          <w:szCs w:val="20"/>
          <w:shd w:fill="FFFFFF" w:val="clear"/>
        </w:rPr>
        <w:t>. </w:t>
      </w:r>
      <w:r>
        <w:rPr>
          <w:rStyle w:val="Strong"/>
          <w:b w:val="false"/>
          <w:color w:val="000000"/>
          <w:sz w:val="20"/>
          <w:szCs w:val="20"/>
        </w:rPr>
        <w:t>Embrapa CPATU: comunicado tëcnico</w:t>
      </w:r>
      <w:r>
        <w:rPr>
          <w:b/>
          <w:color w:val="000000"/>
          <w:sz w:val="20"/>
          <w:szCs w:val="20"/>
          <w:shd w:fill="FFFFFF" w:val="clear"/>
        </w:rPr>
        <w:t> </w:t>
      </w:r>
      <w:r>
        <w:rPr>
          <w:color w:val="000000"/>
          <w:sz w:val="20"/>
          <w:szCs w:val="20"/>
          <w:shd w:fill="FFFFFF" w:val="clear"/>
        </w:rPr>
        <w:t>nº 87, Belém/PA, 2 p. 2003.</w:t>
      </w:r>
    </w:p>
    <w:p>
      <w:pPr>
        <w:pStyle w:val="Normal"/>
        <w:tabs>
          <w:tab w:val="left" w:pos="709" w:leader="none"/>
        </w:tabs>
        <w:spacing w:lineRule="auto" w:line="240" w:before="0" w:after="0"/>
        <w:ind w:left="709" w:hanging="709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left" w:pos="709" w:leader="none"/>
        </w:tabs>
        <w:spacing w:lineRule="auto" w:line="240" w:before="0" w:after="0"/>
        <w:ind w:left="709" w:hanging="709"/>
        <w:contextualSpacing/>
        <w:jc w:val="both"/>
        <w:rPr>
          <w:rStyle w:val="A4"/>
          <w:lang w:val="en-US"/>
        </w:rPr>
      </w:pPr>
      <w:r>
        <w:rPr>
          <w:sz w:val="20"/>
          <w:szCs w:val="20"/>
        </w:rPr>
        <w:t xml:space="preserve">INCAPER. </w:t>
      </w:r>
      <w:r>
        <w:rPr>
          <w:b/>
          <w:sz w:val="20"/>
          <w:szCs w:val="20"/>
        </w:rPr>
        <w:t>Planejamento e programação de ações para Santa Teresa</w:t>
      </w:r>
      <w:r>
        <w:rPr>
          <w:sz w:val="20"/>
          <w:szCs w:val="20"/>
        </w:rPr>
        <w:t xml:space="preserve">. Programa de assistência técnica e extensão rural PROATER, Secretaria de Agricultura. </w:t>
      </w:r>
      <w:r>
        <w:rPr>
          <w:sz w:val="20"/>
          <w:szCs w:val="20"/>
          <w:lang w:val="en-US"/>
        </w:rPr>
        <w:t>2011.</w:t>
      </w:r>
    </w:p>
    <w:p>
      <w:pPr>
        <w:pStyle w:val="Default"/>
        <w:tabs>
          <w:tab w:val="left" w:pos="709" w:leader="none"/>
        </w:tabs>
        <w:jc w:val="both"/>
        <w:rPr>
          <w:rStyle w:val="A4"/>
          <w:lang w:val="en-US"/>
        </w:rPr>
      </w:pPr>
      <w:r>
        <w:rPr>
          <w:lang w:val="en-US"/>
        </w:rPr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  <w:lang w:val="en-US"/>
        </w:rPr>
        <w:t xml:space="preserve">MEEROW, A. W.; BROSCHAT, T. K. </w:t>
      </w:r>
      <w:r>
        <w:rPr>
          <w:b/>
          <w:sz w:val="20"/>
          <w:szCs w:val="20"/>
          <w:lang w:val="en-US"/>
        </w:rPr>
        <w:t>Palm seed germination</w:t>
      </w:r>
      <w:r>
        <w:rPr>
          <w:sz w:val="20"/>
          <w:szCs w:val="20"/>
          <w:lang w:val="en-US"/>
        </w:rPr>
        <w:t xml:space="preserve">. Gainesville: University of Florida/IFAS Extension, 9 p. (University of Florida/IFAS Extension Bulletin, 274). </w:t>
      </w:r>
      <w:r>
        <w:rPr>
          <w:sz w:val="20"/>
          <w:szCs w:val="20"/>
        </w:rPr>
        <w:t>2012.</w:t>
      </w:r>
    </w:p>
    <w:p>
      <w:pPr>
        <w:pStyle w:val="Default"/>
        <w:tabs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>NASCIMENTO, W. M. O.; CICERO, S. M.; NOVEMBRE, A. D. L. C. Conservação de sementes de açaí (</w:t>
      </w:r>
      <w:r>
        <w:rPr>
          <w:i/>
          <w:sz w:val="20"/>
          <w:szCs w:val="20"/>
        </w:rPr>
        <w:t>Euterpe oleracea</w:t>
      </w:r>
      <w:r>
        <w:rPr>
          <w:sz w:val="20"/>
          <w:szCs w:val="20"/>
        </w:rPr>
        <w:t xml:space="preserve"> Mart.). </w:t>
      </w:r>
      <w:r>
        <w:rPr>
          <w:b/>
          <w:sz w:val="20"/>
          <w:szCs w:val="20"/>
        </w:rPr>
        <w:t>Revista Brasileira de Sementes</w:t>
      </w:r>
      <w:r>
        <w:rPr>
          <w:sz w:val="20"/>
          <w:szCs w:val="20"/>
        </w:rPr>
        <w:t>, vol. 32, nº 1 p.024-033. 2010.</w:t>
      </w:r>
    </w:p>
    <w:p>
      <w:pPr>
        <w:pStyle w:val="Ttulo1"/>
        <w:numPr>
          <w:ilvl w:val="0"/>
          <w:numId w:val="1"/>
        </w:numPr>
        <w:shd w:val="clear" w:color="auto" w:fill="FFFFFF"/>
        <w:ind w:left="709" w:hanging="709"/>
        <w:jc w:val="both"/>
        <w:rPr/>
      </w:pPr>
      <w:r>
        <w:rPr>
          <w:rFonts w:ascii="Times New Roman" w:hAnsi="Times New Roman"/>
          <w:b w:val="false"/>
          <w:sz w:val="20"/>
        </w:rPr>
        <w:t xml:space="preserve">PATRO, R.. Jardineiro.net. </w:t>
      </w:r>
      <w:r>
        <w:rPr>
          <w:rFonts w:ascii="Times New Roman" w:hAnsi="Times New Roman"/>
          <w:b w:val="false"/>
          <w:bCs/>
          <w:sz w:val="20"/>
        </w:rPr>
        <w:t xml:space="preserve">Açaí - </w:t>
      </w:r>
      <w:r>
        <w:rPr>
          <w:rFonts w:ascii="Times New Roman" w:hAnsi="Times New Roman"/>
          <w:b w:val="false"/>
          <w:bCs/>
          <w:i/>
          <w:sz w:val="20"/>
        </w:rPr>
        <w:t xml:space="preserve">Euterpe oleracea. </w:t>
      </w:r>
      <w:r>
        <w:rPr>
          <w:rFonts w:ascii="Times New Roman" w:hAnsi="Times New Roman"/>
          <w:b w:val="false"/>
          <w:sz w:val="20"/>
        </w:rPr>
        <w:t xml:space="preserve">2017. </w:t>
      </w:r>
      <w:r>
        <w:rPr>
          <w:rFonts w:ascii="Times New Roman" w:hAnsi="Times New Roman"/>
          <w:b w:val="false"/>
          <w:bCs/>
          <w:sz w:val="20"/>
        </w:rPr>
        <w:t xml:space="preserve">Disponível em: </w:t>
      </w:r>
      <w:hyperlink r:id="rId6">
        <w:r>
          <w:rPr>
            <w:rStyle w:val="LinkdaInternet"/>
            <w:rFonts w:ascii="Times New Roman" w:hAnsi="Times New Roman"/>
            <w:b w:val="false"/>
            <w:bCs/>
            <w:color w:val="00000A"/>
            <w:sz w:val="20"/>
            <w:u w:val="none"/>
          </w:rPr>
          <w:t>www.jardineiro.net/plantas/acai-euterpe-oleracea.html</w:t>
        </w:r>
      </w:hyperlink>
      <w:r>
        <w:rPr>
          <w:rFonts w:ascii="Times New Roman" w:hAnsi="Times New Roman"/>
          <w:b w:val="false"/>
          <w:bCs/>
          <w:color w:val="191716"/>
          <w:sz w:val="20"/>
        </w:rPr>
        <w:t>, Acesso em: 22 de junho 2018.</w:t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POPINIGIS, F. </w:t>
      </w:r>
      <w:r>
        <w:rPr>
          <w:b/>
          <w:sz w:val="20"/>
          <w:szCs w:val="20"/>
        </w:rPr>
        <w:t>Fisiologia da semente</w:t>
      </w:r>
      <w:r>
        <w:rPr>
          <w:sz w:val="20"/>
          <w:szCs w:val="20"/>
        </w:rPr>
        <w:t>. Brasília: ABEAS, 289p. 1985.</w:t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SANTOS, H. O.; SILVA-MANN, R.; ANDRADE, T. M.; CORTEZ, P. C. C. F.; BISPO, M.V.C.; ROCHA, R. C.; CARVALHO, M. L. M. Potencial germinativo de sementes de mamona (Ricinus communis L.) submetidas a estresse salino. In: Congresso Brasileiro De Mamona, </w:t>
      </w:r>
      <w:r>
        <w:rPr>
          <w:b/>
          <w:sz w:val="20"/>
          <w:szCs w:val="20"/>
        </w:rPr>
        <w:t>Anais...,</w:t>
      </w:r>
      <w:r>
        <w:rPr>
          <w:sz w:val="20"/>
          <w:szCs w:val="20"/>
        </w:rPr>
        <w:t xml:space="preserve"> n.3, 2008, Salvador. Energia e ricinoquímica: Resumos. Salvador: SEAGRI: Embrapa Algodão. 2008.</w:t>
      </w:r>
    </w:p>
    <w:p>
      <w:pPr>
        <w:pStyle w:val="Default"/>
        <w:tabs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  <w:t xml:space="preserve">SCALON, S.P.Q.; ALVARENGA, A.A.; DAVIDE, A.C. Influência do substrato, temperatura, umidade e armazenamento sobre a germinação de sementes de pau pereira (Platycyamus regnelli Benth). </w:t>
      </w:r>
      <w:r>
        <w:rPr>
          <w:b/>
          <w:sz w:val="20"/>
          <w:szCs w:val="20"/>
        </w:rPr>
        <w:t>Revista Brasileira de Sementes</w:t>
      </w:r>
      <w:r>
        <w:rPr>
          <w:sz w:val="20"/>
          <w:szCs w:val="20"/>
        </w:rPr>
        <w:t>, Brasília, v. 15, n.1, p.143- 146. 1993.</w:t>
      </w:r>
    </w:p>
    <w:p>
      <w:pPr>
        <w:pStyle w:val="Normal"/>
        <w:spacing w:lineRule="auto" w:line="240" w:before="0"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709" w:hanging="709"/>
        <w:rPr>
          <w:color w:val="000000"/>
          <w:sz w:val="20"/>
          <w:szCs w:val="20"/>
        </w:rPr>
      </w:pPr>
      <w:r>
        <w:rPr>
          <w:sz w:val="20"/>
          <w:szCs w:val="20"/>
        </w:rPr>
        <w:t xml:space="preserve">VILLACHICA, H. </w:t>
      </w:r>
      <w:r>
        <w:rPr>
          <w:b/>
          <w:sz w:val="20"/>
          <w:szCs w:val="20"/>
        </w:rPr>
        <w:t>Frutales y hortalizas promisorios de La Amazonia</w:t>
      </w:r>
      <w:r>
        <w:rPr>
          <w:sz w:val="20"/>
          <w:szCs w:val="20"/>
        </w:rPr>
        <w:t>. Lima: Tratado de Cooperacción Amazonia, P. 33-42 (TCA-STP, 44). 1996.</w:t>
      </w:r>
    </w:p>
    <w:p>
      <w:pPr>
        <w:pStyle w:val="Defaul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709" w:hanging="709"/>
        <w:jc w:val="both"/>
        <w:rPr/>
      </w:pPr>
      <w:r>
        <w:rPr>
          <w:sz w:val="20"/>
          <w:szCs w:val="20"/>
          <w:shd w:fill="FFFFFF" w:val="clear"/>
        </w:rPr>
        <w:t>ZANETTI, M.; CAZETTA, J. O.; MATO JÚNIOR, D.; CARVALHO, S. A. Uso de subprodutos de carvão vegetal na formação do porta-enxerto limoeiro “cravo” em ambiente protegido. </w:t>
      </w:r>
      <w:r>
        <w:rPr>
          <w:rStyle w:val="Strong"/>
          <w:sz w:val="20"/>
          <w:szCs w:val="20"/>
        </w:rPr>
        <w:t>Revista Brasileira de Fruticultura</w:t>
      </w:r>
      <w:bookmarkEnd w:id="1"/>
      <w:r>
        <w:rPr>
          <w:sz w:val="20"/>
          <w:szCs w:val="20"/>
          <w:shd w:fill="FFFFFF" w:val="clear"/>
        </w:rPr>
        <w:t>, Jaboticabal, 25(3):508–512. 2003.</w:t>
      </w:r>
    </w:p>
    <w:p>
      <w:pPr>
        <w:pStyle w:val="Normal"/>
        <w:spacing w:lineRule="auto" w:line="240" w:before="0" w:after="0"/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br/>
      </w:r>
    </w:p>
    <w:p>
      <w:pPr>
        <w:pStyle w:val="Normal"/>
        <w:spacing w:lineRule="auto" w:line="240" w:before="0" w:after="0"/>
        <w:ind w:left="709" w:hanging="709"/>
        <w:rPr/>
      </w:pPr>
      <w:r>
        <w:rPr/>
      </w:r>
    </w:p>
    <w:p>
      <w:pPr>
        <w:sectPr>
          <w:type w:val="continuous"/>
          <w:pgSz w:w="11906" w:h="16838"/>
          <w:pgMar w:left="1417" w:right="1134" w:header="624" w:top="2268" w:footer="720" w:bottom="1417" w:gutter="0"/>
          <w:formProt w:val="false"/>
          <w:textDirection w:val="lrTb"/>
          <w:docGrid w:type="default" w:linePitch="360" w:charSpace="4294961151"/>
        </w:sectPr>
      </w:pPr>
    </w:p>
    <w:sectPr>
      <w:type w:val="continuous"/>
      <w:pgSz w:w="11906" w:h="16838"/>
      <w:pgMar w:left="1417" w:right="1134" w:header="624" w:top="2268" w:footer="72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Garamond">
    <w:charset w:val="00"/>
    <w:family w:val="roman"/>
    <w:pitch w:val="variable"/>
  </w:font>
  <w:font w:name="Tahoma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Nimbus Sans L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ind w:right="360" w:hanging="0"/>
      <w:rPr>
        <w:rFonts w:ascii="Tahoma" w:hAnsi="Tahoma"/>
        <w:sz w:val="18"/>
        <w:szCs w:val="18"/>
      </w:rPr>
    </w:pPr>
    <w:r>
      <w:rPr>
        <w:rFonts w:ascii="Tahoma" w:hAnsi="Tahoma"/>
        <w:sz w:val="18"/>
        <w:szCs w:val="18"/>
      </w:rPr>
      <mc:AlternateContent>
        <mc:Choice Requires="wps">
          <w:drawing>
            <wp:anchor behindDoc="1" distT="0" distB="0" distL="114300" distR="114300" simplePos="0" locked="0" layoutInCell="1" allowOverlap="1" relativeHeight="5" wp14:anchorId="588B2F77">
              <wp:simplePos x="0" y="0"/>
              <wp:positionH relativeFrom="column">
                <wp:posOffset>-34925</wp:posOffset>
              </wp:positionH>
              <wp:positionV relativeFrom="paragraph">
                <wp:posOffset>116840</wp:posOffset>
              </wp:positionV>
              <wp:extent cx="5777230" cy="1905"/>
              <wp:effectExtent l="11430" t="12065" r="13335" b="6985"/>
              <wp:wrapNone/>
              <wp:docPr id="2" name="Lin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6560" cy="144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2.75pt,9.2pt" to="452.05pt,9.25pt" ID="Line 2" stroked="t" style="position:absolute" wp14:anchorId="588B2F77">
              <v:stroke color="black" weight="9360" joinstyle="miter" endcap="flat"/>
              <v:fill o:detectmouseclick="t" on="false"/>
            </v:line>
          </w:pict>
        </mc:Fallback>
      </mc:AlternateContent>
      <mc:AlternateContent>
        <mc:Choice Requires="wps">
          <w:drawing>
            <wp:anchor behindDoc="1" distT="0" distB="0" distL="114300" distR="114300" simplePos="0" locked="0" layoutInCell="1" allowOverlap="1" relativeHeight="9" wp14:anchorId="5BB3F800">
              <wp:simplePos x="0" y="0"/>
              <wp:positionH relativeFrom="column">
                <wp:posOffset>-34925</wp:posOffset>
              </wp:positionH>
              <wp:positionV relativeFrom="paragraph">
                <wp:posOffset>116840</wp:posOffset>
              </wp:positionV>
              <wp:extent cx="5777230" cy="1905"/>
              <wp:effectExtent l="11430" t="12065" r="13335" b="6985"/>
              <wp:wrapNone/>
              <wp:docPr id="3" name="Line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6560" cy="144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2.75pt,9.2pt" to="452.05pt,9.25pt" ID="Line 6" stroked="t" style="position:absolute" wp14:anchorId="5BB3F800">
              <v:stroke color="black" weight="9360" joinstyle="miter" endcap="flat"/>
              <v:fill o:detectmouseclick="t" on="false"/>
            </v:line>
          </w:pict>
        </mc:Fallback>
      </mc:AlternateContent>
    </w:r>
  </w:p>
  <w:p>
    <w:pPr>
      <w:pStyle w:val="Rodap"/>
      <w:ind w:right="360" w:hanging="0"/>
      <w:jc w:val="right"/>
      <w:rPr>
        <w:sz w:val="18"/>
        <w:szCs w:val="18"/>
        <w:lang w:eastAsia="pt-BR"/>
      </w:rPr>
    </w:pPr>
    <w:r>
      <w:rPr>
        <w:sz w:val="18"/>
        <w:szCs w:val="18"/>
        <w:lang w:eastAsia="pt-BR"/>
      </w:rPr>
      <w:t>SEAGRO: Anais de Semana Acadêmica do Curso de Agronomia do CCAE/UFES, v. 2, n.1, 2018</w:t>
    </w:r>
  </w:p>
  <w:p>
    <w:pPr>
      <w:pStyle w:val="Rodap"/>
      <w:spacing w:before="0" w:after="160"/>
      <w:ind w:right="360" w:hanging="0"/>
      <w:jc w:val="right"/>
      <w:rPr>
        <w:rFonts w:ascii="Tahoma" w:hAnsi="Tahoma"/>
        <w:sz w:val="20"/>
      </w:rPr>
    </w:pPr>
    <w:r>
      <w:rPr>
        <w:sz w:val="18"/>
        <w:szCs w:val="18"/>
        <w:lang w:eastAsia="pt-BR"/>
      </w:rPr>
      <w:t xml:space="preserve"> </w:t>
    </w:r>
    <w:r>
      <w:rPr>
        <w:sz w:val="18"/>
        <w:szCs w:val="18"/>
        <w:lang w:eastAsia="pt-BR"/>
      </w:rPr>
      <w:t>ISSN: 2594-4452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spacing w:before="0" w:after="160"/>
      <w:ind w:left="-567" w:right="-569" w:hanging="0"/>
      <w:jc w:val="center"/>
      <w:rPr/>
    </w:pPr>
    <w:r>
      <w:rPr/>
      <w:drawing>
        <wp:inline distT="0" distB="0" distL="0" distR="0">
          <wp:extent cx="5760085" cy="828675"/>
          <wp:effectExtent l="0" t="0" r="0" b="0"/>
          <wp:docPr id="1" name="Picture 2" descr="cabeçár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cabeçári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828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pacing w:lineRule="auto" w:line="276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nhideWhenUsed="0"/>
    <w:lsdException w:name="caption" w:qFormat="1"/>
    <w:lsdException w:name="line number" w:semiHidden="0" w:unhideWhenUsed="0"/>
    <w:lsdException w:name="page number" w:semiHidden="0" w:unhideWhenUsed="0"/>
    <w:lsdException w:name="List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semiHidden="0"/>
    <w:lsdException w:name="Body Text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semiHidden="0"/>
    <w:lsdException w:name="Hyperlink" w:semiHidden="0" w:unhideWhenUsed="0"/>
    <w:lsdException w:name="Followed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HTML Top of Form" w:uiPriority="99"/>
    <w:lsdException w:name="HTML Bottom of Form" w:uiPriority="99"/>
    <w:lsdException w:name="HTML Preformatted" w:uiPriority="99"/>
    <w:lsdException w:name="Normal Table" w:uiPriority="99" w:semiHidden="0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Placeholder Text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t-BR" w:eastAsia="ar-SA" w:bidi="ar-SA"/>
    </w:rPr>
  </w:style>
  <w:style w:type="paragraph" w:styleId="Ttulo1">
    <w:name w:val="Título 1"/>
    <w:basedOn w:val="Normal"/>
    <w:qFormat/>
    <w:pPr>
      <w:keepNext/>
      <w:tabs>
        <w:tab w:val="right" w:pos="8640" w:leader="none"/>
      </w:tabs>
      <w:spacing w:lineRule="auto" w:line="360" w:before="280" w:after="160"/>
      <w:outlineLvl w:val="0"/>
    </w:pPr>
    <w:rPr>
      <w:rFonts w:ascii="Garamond" w:hAnsi="Garamond"/>
      <w:b/>
      <w:spacing w:val="-2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uiPriority w:val="22"/>
    <w:qFormat/>
    <w:rPr>
      <w:b/>
    </w:rPr>
  </w:style>
  <w:style w:type="character" w:styleId="FollowedHyperlink">
    <w:name w:val="FollowedHyperlink"/>
    <w:qFormat/>
    <w:rPr>
      <w:color w:val="800080"/>
      <w:u w:val="single"/>
    </w:rPr>
  </w:style>
  <w:style w:type="character" w:styleId="Linenumber">
    <w:name w:val="line number"/>
    <w:qFormat/>
    <w:rPr/>
  </w:style>
  <w:style w:type="character" w:styleId="Fontepargpadro1" w:customStyle="1">
    <w:name w:val="Fonte parág. padrão1"/>
    <w:qFormat/>
    <w:rPr/>
  </w:style>
  <w:style w:type="character" w:styleId="LinkdaInternet">
    <w:name w:val="Link da Internet"/>
    <w:rPr>
      <w:color w:val="0000FF"/>
      <w:u w:val="single"/>
    </w:rPr>
  </w:style>
  <w:style w:type="character" w:styleId="Pagenumber">
    <w:name w:val="page number"/>
    <w:basedOn w:val="Fontepargpadro1"/>
    <w:qFormat/>
    <w:rPr/>
  </w:style>
  <w:style w:type="character" w:styleId="TextodebaloChar" w:customStyle="1">
    <w:name w:val="Texto de balão Char"/>
    <w:link w:val="Textodebalo"/>
    <w:qFormat/>
    <w:rPr>
      <w:rFonts w:ascii="Tahoma" w:hAnsi="Tahoma" w:cs="Tahoma"/>
      <w:sz w:val="16"/>
      <w:szCs w:val="16"/>
      <w:lang w:eastAsia="ar-SA"/>
    </w:rPr>
  </w:style>
  <w:style w:type="character" w:styleId="A4" w:customStyle="1">
    <w:name w:val="A4"/>
    <w:uiPriority w:val="99"/>
    <w:qFormat/>
    <w:rsid w:val="00cf4fa3"/>
    <w:rPr>
      <w:color w:val="000000"/>
      <w:sz w:val="20"/>
      <w:szCs w:val="20"/>
    </w:rPr>
  </w:style>
  <w:style w:type="character" w:styleId="Nfase">
    <w:name w:val="Ênfase"/>
    <w:uiPriority w:val="20"/>
    <w:qFormat/>
    <w:rsid w:val="00e94cbc"/>
    <w:rPr>
      <w:i/>
      <w:iCs/>
    </w:rPr>
  </w:style>
  <w:style w:type="character" w:styleId="PrformataoHTMLChar" w:customStyle="1">
    <w:name w:val="Pré-formatação HTML Char"/>
    <w:basedOn w:val="DefaultParagraphFont"/>
    <w:link w:val="Pr-formataoHTML"/>
    <w:uiPriority w:val="99"/>
    <w:semiHidden/>
    <w:qFormat/>
    <w:rsid w:val="00b415af"/>
    <w:rPr>
      <w:rFonts w:ascii="Courier New" w:hAnsi="Courier New" w:cs="Courier New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before="0" w:after="120"/>
    </w:pPr>
    <w:rPr/>
  </w:style>
  <w:style w:type="paragraph" w:styleId="Lista">
    <w:name w:val="Lista"/>
    <w:basedOn w:val="Corpodetexto"/>
    <w:pPr/>
    <w:rPr/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BodyText3">
    <w:name w:val="Body Text 3"/>
    <w:basedOn w:val="Normal"/>
    <w:unhideWhenUsed/>
    <w:qFormat/>
    <w:pPr>
      <w:spacing w:before="0" w:after="120"/>
    </w:pPr>
    <w:rPr>
      <w:sz w:val="16"/>
      <w:szCs w:val="16"/>
    </w:rPr>
  </w:style>
  <w:style w:type="paragraph" w:styleId="Cabealho">
    <w:name w:val="Cabeçalho"/>
    <w:basedOn w:val="Normal"/>
    <w:pPr>
      <w:tabs>
        <w:tab w:val="center" w:pos="4419" w:leader="none"/>
        <w:tab w:val="right" w:pos="8838" w:leader="none"/>
      </w:tabs>
    </w:pPr>
    <w:rPr/>
  </w:style>
  <w:style w:type="paragraph" w:styleId="Rodap">
    <w:name w:val="Rodapé"/>
    <w:basedOn w:val="Normal"/>
    <w:pPr>
      <w:tabs>
        <w:tab w:val="center" w:pos="4419" w:leader="none"/>
        <w:tab w:val="right" w:pos="8838" w:leader="none"/>
      </w:tabs>
    </w:pPr>
    <w:rPr/>
  </w:style>
  <w:style w:type="paragraph" w:styleId="BalloonText">
    <w:name w:val="Balloon Text"/>
    <w:basedOn w:val="Normal"/>
    <w:link w:val="TextodebaloChar"/>
    <w:qFormat/>
    <w:pPr/>
    <w:rPr>
      <w:rFonts w:ascii="Tahoma" w:hAnsi="Tahoma" w:cs="Tahoma"/>
      <w:sz w:val="16"/>
      <w:szCs w:val="16"/>
    </w:rPr>
  </w:style>
  <w:style w:type="paragraph" w:styleId="Captulo" w:customStyle="1">
    <w:name w:val="Capítulo"/>
    <w:basedOn w:val="Normal"/>
    <w:qFormat/>
    <w:pPr>
      <w:keepNext/>
      <w:spacing w:before="240" w:after="120"/>
    </w:pPr>
    <w:rPr>
      <w:rFonts w:ascii="Nimbus Sans L" w:hAnsi="Nimbus Sans L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i/>
      <w:iCs/>
    </w:rPr>
  </w:style>
  <w:style w:type="paragraph" w:styleId="TitulodoResumo" w:customStyle="1">
    <w:name w:val="Titulo do Resumo"/>
    <w:basedOn w:val="Normal"/>
    <w:qFormat/>
    <w:pPr>
      <w:jc w:val="center"/>
    </w:pPr>
    <w:rPr>
      <w:rFonts w:ascii="Arial" w:hAnsi="Arial" w:cs="Arial"/>
      <w:b/>
      <w:bCs/>
    </w:rPr>
  </w:style>
  <w:style w:type="paragraph" w:styleId="Nomeautoreseorientadores" w:customStyle="1">
    <w:name w:val="nome autores e orientadores"/>
    <w:basedOn w:val="Normal"/>
    <w:qFormat/>
    <w:pPr>
      <w:jc w:val="center"/>
    </w:pPr>
    <w:rPr>
      <w:rFonts w:ascii="Arial" w:hAnsi="Arial" w:cs="Arial"/>
      <w:b/>
      <w:bCs/>
      <w:i/>
      <w:iCs/>
    </w:rPr>
  </w:style>
  <w:style w:type="paragraph" w:styleId="Palavraschave" w:customStyle="1">
    <w:name w:val="Palavras-chave"/>
    <w:basedOn w:val="Normal"/>
    <w:qFormat/>
    <w:pPr/>
    <w:rPr>
      <w:rFonts w:ascii="Arial" w:hAnsi="Arial" w:cs="Arial"/>
      <w:sz w:val="20"/>
    </w:rPr>
  </w:style>
  <w:style w:type="paragraph" w:styleId="Readeconhecimento" w:customStyle="1">
    <w:name w:val="Área de conhecimento"/>
    <w:basedOn w:val="Normal"/>
    <w:qFormat/>
    <w:pPr/>
    <w:rPr>
      <w:rFonts w:ascii="Arial" w:hAnsi="Arial" w:cs="Arial"/>
      <w:sz w:val="20"/>
    </w:rPr>
  </w:style>
  <w:style w:type="paragraph" w:styleId="Endereos" w:customStyle="1">
    <w:name w:val="Endereços"/>
    <w:basedOn w:val="Normal"/>
    <w:qFormat/>
    <w:pPr>
      <w:jc w:val="center"/>
    </w:pPr>
    <w:rPr>
      <w:rFonts w:ascii="Arial" w:hAnsi="Arial" w:cs="Arial"/>
      <w:sz w:val="20"/>
    </w:rPr>
  </w:style>
  <w:style w:type="paragraph" w:styleId="Palavrachave" w:customStyle="1">
    <w:name w:val="Palavra chave"/>
    <w:basedOn w:val="Normal"/>
    <w:qFormat/>
    <w:pPr/>
    <w:rPr>
      <w:rFonts w:ascii="Arial" w:hAnsi="Arial" w:cs="Arial"/>
      <w:sz w:val="20"/>
    </w:rPr>
  </w:style>
  <w:style w:type="paragraph" w:styleId="Resumo" w:customStyle="1">
    <w:name w:val="Resumo"/>
    <w:basedOn w:val="Cabealho"/>
    <w:qFormat/>
    <w:pPr>
      <w:spacing w:before="120" w:after="120"/>
      <w:jc w:val="both"/>
    </w:pPr>
    <w:rPr>
      <w:rFonts w:ascii="Arial" w:hAnsi="Arial" w:cs="Arial"/>
      <w:sz w:val="20"/>
    </w:rPr>
  </w:style>
  <w:style w:type="paragraph" w:styleId="TextosemFormatao1" w:customStyle="1">
    <w:name w:val="Texto sem Formatação1"/>
    <w:basedOn w:val="Normal"/>
    <w:qFormat/>
    <w:pPr/>
    <w:rPr>
      <w:rFonts w:ascii="Courier New" w:hAnsi="Courier New"/>
      <w:sz w:val="20"/>
      <w:lang w:val="hr-HR"/>
    </w:rPr>
  </w:style>
  <w:style w:type="paragraph" w:styleId="Contedodatabela" w:customStyle="1">
    <w:name w:val="Conteúdo da tabela"/>
    <w:basedOn w:val="Normal"/>
    <w:qFormat/>
    <w:rsid w:val="00cf4fa3"/>
    <w:pPr>
      <w:suppressLineNumbers/>
      <w:spacing w:lineRule="auto" w:line="240" w:before="0" w:after="0"/>
      <w:textAlignment w:val="baseline"/>
    </w:pPr>
    <w:rPr>
      <w:rFonts w:ascii="Liberation Serif" w:hAnsi="Liberation Serif" w:eastAsia="SimSun" w:cs="Mangal"/>
      <w:lang w:eastAsia="zh-CN" w:bidi="hi-IN"/>
    </w:rPr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</w:rPr>
  </w:style>
  <w:style w:type="paragraph" w:styleId="Contedodoquadro" w:customStyle="1">
    <w:name w:val="Conteúdo do quadro"/>
    <w:basedOn w:val="Corpodetexto"/>
    <w:qFormat/>
    <w:pPr/>
    <w:rPr/>
  </w:style>
  <w:style w:type="paragraph" w:styleId="BATitle" w:customStyle="1">
    <w:name w:val="BA_Title"/>
    <w:basedOn w:val="Normal"/>
    <w:next w:val="Normal"/>
    <w:qFormat/>
    <w:rsid w:val="00f347b3"/>
    <w:pPr>
      <w:suppressAutoHyphens w:val="false"/>
      <w:overflowPunct w:val="false"/>
      <w:spacing w:lineRule="exact" w:line="480" w:before="720" w:after="240"/>
      <w:ind w:right="3024" w:hanging="0"/>
      <w:textAlignment w:val="baseline"/>
    </w:pPr>
    <w:rPr>
      <w:rFonts w:ascii="Helvetica" w:hAnsi="Helvetica" w:cs="Helvetica"/>
      <w:b/>
      <w:bCs/>
      <w:sz w:val="44"/>
      <w:szCs w:val="44"/>
      <w:lang w:val="en-US" w:eastAsia="pt-BR"/>
    </w:rPr>
  </w:style>
  <w:style w:type="paragraph" w:styleId="BCAuthorAddress" w:customStyle="1">
    <w:name w:val="BC_Author_Address"/>
    <w:basedOn w:val="Normal"/>
    <w:next w:val="Normal"/>
    <w:qFormat/>
    <w:rsid w:val="00cf4fa3"/>
    <w:pPr>
      <w:suppressAutoHyphens w:val="false"/>
      <w:overflowPunct w:val="false"/>
      <w:spacing w:lineRule="exact" w:line="240" w:before="0" w:after="120"/>
      <w:ind w:right="3024" w:hanging="0"/>
      <w:textAlignment w:val="baseline"/>
    </w:pPr>
    <w:rPr>
      <w:rFonts w:ascii="Times" w:hAnsi="Times" w:cs="Times"/>
      <w:i/>
      <w:iCs/>
      <w:sz w:val="20"/>
      <w:szCs w:val="20"/>
      <w:lang w:val="en-US" w:eastAsia="pt-BR"/>
    </w:rPr>
  </w:style>
  <w:style w:type="paragraph" w:styleId="TAMainText" w:customStyle="1">
    <w:name w:val="TA_Main_Text"/>
    <w:basedOn w:val="Normal"/>
    <w:qFormat/>
    <w:rsid w:val="00cf4fa3"/>
    <w:pPr>
      <w:suppressAutoHyphens w:val="false"/>
      <w:overflowPunct w:val="false"/>
      <w:spacing w:lineRule="exact" w:line="240" w:before="0" w:after="0"/>
      <w:ind w:firstLine="202"/>
      <w:jc w:val="both"/>
      <w:textAlignment w:val="baseline"/>
    </w:pPr>
    <w:rPr>
      <w:rFonts w:ascii="Times" w:hAnsi="Times" w:cs="Times"/>
      <w:sz w:val="20"/>
      <w:szCs w:val="20"/>
      <w:lang w:val="en-US" w:eastAsia="pt-BR"/>
    </w:rPr>
  </w:style>
  <w:style w:type="paragraph" w:styleId="SemEspaamento1" w:customStyle="1">
    <w:name w:val="Sem Espaçamento1"/>
    <w:qFormat/>
    <w:rsid w:val="00cf4fa3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Calibri"/>
      <w:color w:val="00000A"/>
      <w:sz w:val="22"/>
      <w:szCs w:val="22"/>
      <w:lang w:val="pt-BR" w:eastAsia="zh-CN" w:bidi="ar-SA"/>
    </w:rPr>
  </w:style>
  <w:style w:type="paragraph" w:styleId="Pa10" w:customStyle="1">
    <w:name w:val="Pa10"/>
    <w:basedOn w:val="Normal"/>
    <w:next w:val="Normal"/>
    <w:uiPriority w:val="99"/>
    <w:qFormat/>
    <w:rsid w:val="00cf4fa3"/>
    <w:pPr>
      <w:suppressAutoHyphens w:val="false"/>
      <w:spacing w:lineRule="atLeast" w:line="241" w:before="120" w:after="0"/>
    </w:pPr>
    <w:rPr>
      <w:rFonts w:ascii="Calibri" w:hAnsi="Calibri" w:eastAsia="Calibri"/>
      <w:lang w:eastAsia="zh-CN"/>
    </w:rPr>
  </w:style>
  <w:style w:type="paragraph" w:styleId="Default" w:customStyle="1">
    <w:name w:val="Default"/>
    <w:qFormat/>
    <w:rsid w:val="00cf4fa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styleId="Standard" w:customStyle="1">
    <w:name w:val="Standard"/>
    <w:qFormat/>
    <w:rsid w:val="00306fa5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sz w:val="22"/>
      <w:szCs w:val="22"/>
      <w:lang w:val="pt-BR" w:eastAsia="en-US" w:bidi="ar-SA"/>
    </w:rPr>
  </w:style>
  <w:style w:type="paragraph" w:styleId="HTMLPreformatted">
    <w:name w:val="HTML Preformatted"/>
    <w:basedOn w:val="Normal"/>
    <w:link w:val="Pr-formataoHTMLChar"/>
    <w:uiPriority w:val="99"/>
    <w:semiHidden/>
    <w:unhideWhenUsed/>
    <w:qFormat/>
    <w:rsid w:val="00b415af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  <w:spacing w:lineRule="auto" w:line="240" w:before="0" w:after="0"/>
    </w:pPr>
    <w:rPr>
      <w:rFonts w:ascii="Courier New" w:hAnsi="Courier New" w:cs="Courier New"/>
      <w:sz w:val="20"/>
      <w:szCs w:val="20"/>
      <w:lang w:eastAsia="pt-BR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https://www.jardineiro.net/glossario/nativa" TargetMode="External"/><Relationship Id="rId5" Type="http://schemas.openxmlformats.org/officeDocument/2006/relationships/hyperlink" Target="https://www.jardineiro.net/plantas/palmito-jussara-euterpe-edulis.html" TargetMode="External"/><Relationship Id="rId6" Type="http://schemas.openxmlformats.org/officeDocument/2006/relationships/hyperlink" Target="http://www.jardineiro.net/plantas/acai-euterpe-oleracea.html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LibreOffice/5.1.1.3$Windows_x86 LibreOffice_project/89f508ef3ecebd2cfb8e1def0f0ba9a803b88a6d</Application>
  <Pages>4</Pages>
  <Words>2064</Words>
  <Characters>11620</Characters>
  <CharactersWithSpaces>13605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2017-08-01T10:47:00Z</dcterms:created>
  <dc:creator/>
  <dc:description/>
  <dc:language>pt-BR</dc:language>
  <cp:lastModifiedBy/>
  <dcterms:modified xsi:type="dcterms:W3CDTF">2018-06-30T10:38:46Z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KSOProductBuildVer">
    <vt:lpwstr>1046-10.1.0.5707</vt:lpwstr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