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BATitle"/>
        <w:spacing w:lineRule="auto" w:line="240" w:before="0" w:after="0"/>
        <w:ind w:right="0" w:hanging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 xml:space="preserve">TRATAMENTO TÉRMICO NA GERMINAÇÃO DE </w:t>
      </w:r>
    </w:p>
    <w:p>
      <w:pPr>
        <w:pStyle w:val="Normal"/>
        <w:jc w:val="center"/>
        <w:rPr>
          <w:b/>
          <w:b/>
        </w:rPr>
      </w:pPr>
      <w:r>
        <w:rPr>
          <w:b/>
        </w:rPr>
        <w:t>SEMENTES DE PINHA</w:t>
      </w:r>
    </w:p>
    <w:p>
      <w:pPr>
        <w:pStyle w:val="Normal"/>
        <w:spacing w:lineRule="auto" w:line="240" w:before="0" w:after="0"/>
        <w:jc w:val="center"/>
        <w:rPr>
          <w:b/>
          <w:b/>
          <w:lang w:val="en-US"/>
        </w:rPr>
      </w:pPr>
      <w:r>
        <w:rPr>
          <w:b/>
          <w:lang w:val="en-US"/>
        </w:rPr>
        <w:t>THERMAL TREATMENT IN THE GERMINATION OF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PINHA SEEDS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rFonts w:eastAsia="Arial"/>
          <w:b/>
        </w:rPr>
        <w:t>Andrieli Ferrari Mônico</w:t>
      </w:r>
      <w:r>
        <w:rPr>
          <w:b/>
          <w:vertAlign w:val="superscript"/>
        </w:rPr>
        <w:t>1</w:t>
      </w:r>
      <w:r>
        <w:rPr>
          <w:b/>
        </w:rPr>
        <w:t>, Marcus Vinicius Sandoval Paixão</w:t>
      </w:r>
      <w:r>
        <w:rPr>
          <w:b/>
          <w:vertAlign w:val="superscript"/>
        </w:rPr>
        <w:t>2</w:t>
      </w:r>
      <w:r>
        <w:rPr>
          <w:b/>
        </w:rPr>
        <w:t>,</w:t>
      </w:r>
      <w:r>
        <w:rPr>
          <w:b/>
          <w:i/>
        </w:rPr>
        <w:t xml:space="preserve"> </w:t>
      </w:r>
      <w:r>
        <w:rPr>
          <w:b/>
        </w:rPr>
        <w:t>Angelica Couto Correa</w:t>
      </w:r>
      <w:r>
        <w:rPr>
          <w:b/>
          <w:vertAlign w:val="superscript"/>
        </w:rPr>
        <w:t>3</w:t>
      </w:r>
      <w:r>
        <w:rPr>
          <w:b/>
        </w:rPr>
        <w:t xml:space="preserve">, Ana Cecília </w:t>
      </w:r>
      <w:r>
        <w:rPr>
          <w:b/>
          <w:color w:val="222222"/>
          <w:shd w:fill="FFFFFF" w:val="clear"/>
        </w:rPr>
        <w:t>Nepomuceno Hoffay</w:t>
      </w:r>
      <w:r>
        <w:rPr>
          <w:b/>
          <w:vertAlign w:val="superscript"/>
        </w:rPr>
        <w:t>4</w:t>
      </w:r>
      <w:r>
        <w:rPr>
          <w:rFonts w:eastAsia="Arial"/>
          <w:b/>
        </w:rPr>
        <w:t xml:space="preserve">, </w:t>
      </w:r>
      <w:r>
        <w:rPr>
          <w:b/>
        </w:rPr>
        <w:t>Eliane Aparecida Venturini</w:t>
      </w:r>
      <w:r>
        <w:rPr>
          <w:b/>
          <w:vertAlign w:val="superscript"/>
        </w:rPr>
        <w:t>5</w:t>
      </w:r>
    </w:p>
    <w:p>
      <w:pPr>
        <w:pStyle w:val="BCAuthorAddress"/>
        <w:spacing w:lineRule="auto" w:line="240" w:before="0" w:after="0"/>
        <w:ind w:right="0" w:hanging="0"/>
        <w:jc w:val="center"/>
        <w:rPr/>
      </w:pPr>
      <w:r>
        <w:rPr>
          <w:rFonts w:ascii="Times New Roman" w:hAnsi="Times New Roman"/>
          <w:i w:val="false"/>
          <w:vertAlign w:val="superscript"/>
          <w:lang w:val="pt-BR"/>
        </w:rPr>
        <w:t>1</w:t>
      </w:r>
      <w:r>
        <w:rPr>
          <w:rFonts w:ascii="Times New Roman" w:hAnsi="Times New Roman"/>
          <w:i w:val="false"/>
          <w:lang w:val="pt-BR"/>
        </w:rPr>
        <w:t>Istituto Federal do Espírito Santo,</w:t>
      </w:r>
      <w:r>
        <w:rPr>
          <w:rFonts w:ascii="Times New Roman" w:hAnsi="Times New Roman"/>
          <w:i w:val="false"/>
          <w:vertAlign w:val="superscript"/>
          <w:lang w:val="pt-BR"/>
        </w:rPr>
        <w:t xml:space="preserve"> 1</w:t>
      </w:r>
      <w:hyperlink r:id="rId2">
        <w:r>
          <w:rPr>
            <w:rStyle w:val="LinkdaInternet"/>
            <w:rFonts w:eastAsia="Arial" w:ascii="Times New Roman" w:hAnsi="Times New Roman"/>
            <w:i w:val="false"/>
            <w:color w:val="00000A"/>
            <w:u w:val="none"/>
            <w:lang w:val="pt-BR"/>
          </w:rPr>
          <w:t>andrieliferrari10@gmail.com</w:t>
        </w:r>
      </w:hyperlink>
      <w:r>
        <w:rPr>
          <w:rFonts w:cs="Times New Roman" w:ascii="Times New Roman" w:hAnsi="Times New Roman"/>
          <w:i w:val="false"/>
          <w:color w:val="00000A"/>
          <w:u w:val="none"/>
          <w:shd w:fill="FFFFFF" w:val="clear"/>
          <w:lang w:val="pt-BR"/>
        </w:rPr>
        <w:t xml:space="preserve">, </w:t>
      </w:r>
      <w:r>
        <w:rPr>
          <w:i w:val="false"/>
          <w:vertAlign w:val="superscript"/>
          <w:lang w:val="pt-BR"/>
        </w:rPr>
        <w:t>2</w:t>
      </w:r>
      <w:r>
        <w:rPr>
          <w:rFonts w:cs="Times New Roman" w:ascii="Times New Roman" w:hAnsi="Times New Roman"/>
          <w:i w:val="false"/>
          <w:lang w:val="pt-BR"/>
        </w:rPr>
        <w:t>mvspaixao@gmail.com</w:t>
      </w:r>
      <w:r>
        <w:rPr>
          <w:i w:val="false"/>
          <w:color w:val="00000A"/>
          <w:u w:val="none"/>
          <w:shd w:fill="FFFFFF" w:val="clear"/>
          <w:lang w:val="pt-BR"/>
        </w:rPr>
        <w:t xml:space="preserve">, </w:t>
      </w:r>
    </w:p>
    <w:p>
      <w:pPr>
        <w:pStyle w:val="BCAuthorAddress"/>
        <w:spacing w:lineRule="auto" w:line="240" w:before="0" w:after="0"/>
        <w:ind w:right="0" w:hanging="0"/>
        <w:jc w:val="center"/>
        <w:rPr/>
      </w:pPr>
      <w:r>
        <w:rPr>
          <w:rFonts w:ascii="Times New Roman" w:hAnsi="Times New Roman"/>
          <w:i w:val="false"/>
          <w:vertAlign w:val="superscript"/>
          <w:lang w:val="pt-BR"/>
        </w:rPr>
        <w:t>3</w:t>
      </w:r>
      <w:hyperlink r:id="rId3">
        <w:r>
          <w:rPr>
            <w:rStyle w:val="LinkdaInternet"/>
            <w:rFonts w:cs="Times New Roman" w:ascii="Times New Roman" w:hAnsi="Times New Roman"/>
            <w:i w:val="false"/>
            <w:color w:val="00000A"/>
            <w:highlight w:val="white"/>
            <w:u w:val="none"/>
            <w:lang w:val="pt-BR"/>
          </w:rPr>
          <w:t>angelicacoutocorrea@gmail.com</w:t>
        </w:r>
      </w:hyperlink>
      <w:r>
        <w:rPr>
          <w:rFonts w:cs="Times New Roman" w:ascii="Times New Roman" w:hAnsi="Times New Roman"/>
          <w:i w:val="false"/>
          <w:lang w:val="pt-BR"/>
        </w:rPr>
        <w:t xml:space="preserve">, </w:t>
      </w:r>
      <w:r>
        <w:rPr>
          <w:rFonts w:ascii="Times New Roman" w:hAnsi="Times New Roman"/>
          <w:i w:val="false"/>
          <w:vertAlign w:val="superscript"/>
          <w:lang w:val="pt-BR"/>
        </w:rPr>
        <w:t>4</w:t>
      </w:r>
      <w:hyperlink r:id="rId4">
        <w:r>
          <w:rPr>
            <w:rStyle w:val="LinkdaInternet"/>
            <w:rFonts w:cs="Times New Roman" w:ascii="Times New Roman" w:hAnsi="Times New Roman"/>
            <w:i w:val="false"/>
            <w:color w:val="00000A"/>
            <w:highlight w:val="white"/>
            <w:u w:val="none"/>
            <w:lang w:val="pt-BR"/>
          </w:rPr>
          <w:t>ceciliahoffayagro@gmail.com</w:t>
        </w:r>
      </w:hyperlink>
      <w:r>
        <w:rPr>
          <w:rFonts w:cs="Times New Roman" w:ascii="Times New Roman" w:hAnsi="Times New Roman"/>
          <w:i w:val="false"/>
          <w:color w:val="00000A"/>
          <w:u w:val="none"/>
          <w:shd w:fill="FFFFFF" w:val="clear"/>
          <w:lang w:val="pt-BR"/>
        </w:rPr>
        <w:t xml:space="preserve">, </w:t>
      </w:r>
      <w:r>
        <w:rPr>
          <w:i w:val="false"/>
          <w:vertAlign w:val="superscript"/>
          <w:lang w:val="pt-BR"/>
        </w:rPr>
        <w:t>5</w:t>
      </w:r>
      <w:bookmarkStart w:id="0" w:name="_GoBack"/>
      <w:bookmarkEnd w:id="0"/>
      <w:r>
        <w:rPr>
          <w:rFonts w:cs="Times New Roman" w:ascii="Times New Roman" w:hAnsi="Times New Roman"/>
          <w:i w:val="false"/>
          <w:lang w:val="pt-BR"/>
        </w:rPr>
        <w:t>elianeventuriniifes@gmail.com</w:t>
      </w:r>
      <w:r>
        <w:rPr>
          <w:lang w:val="pt-BR"/>
        </w:rPr>
        <w:t xml:space="preserve"> </w:t>
      </w:r>
    </w:p>
    <w:p>
      <w:pPr>
        <w:pStyle w:val="Endereos"/>
        <w:rPr>
          <w:rFonts w:ascii="Times New Roman" w:hAnsi="Times New Roman" w:cs="Times New Roman"/>
          <w:vertAlign w:val="superscript"/>
        </w:rPr>
      </w:pPr>
      <w:r>
        <w:rPr>
          <w:rFonts w:cs="Times New Roman" w:ascii="Times New Roman" w:hAnsi="Times New Roman"/>
          <w:vertAlign w:val="superscript"/>
        </w:rPr>
      </w:r>
    </w:p>
    <w:p>
      <w:pPr>
        <w:pStyle w:val="Endereos"/>
        <w:rPr/>
      </w:pPr>
      <w:r>
        <w:rPr>
          <w:rFonts w:cs="Times New Roman" w:ascii="Times New Roman" w:hAnsi="Times New Roman"/>
        </w:rPr>
        <w:t xml:space="preserve">Apresentado na           </w:t>
      </w:r>
    </w:p>
    <w:p>
      <w:pPr>
        <w:pStyle w:val="Endereos"/>
        <w:rPr/>
      </w:pPr>
      <w:r>
        <w:rPr>
          <w:rFonts w:cs="Times New Roman" w:ascii="Times New Roman" w:hAnsi="Times New Roman"/>
        </w:rPr>
        <w:t xml:space="preserve">29ª Semana </w:t>
      </w:r>
      <w:r>
        <w:rPr>
          <w:rFonts w:cs="Times New Roman" w:ascii="Times New Roman" w:hAnsi="Times New Roman"/>
        </w:rPr>
        <w:t>Agronômica</w:t>
      </w:r>
      <w:r>
        <w:rPr>
          <w:rFonts w:cs="Times New Roman" w:ascii="Times New Roman" w:hAnsi="Times New Roman"/>
        </w:rPr>
        <w:t xml:space="preserve"> do CCAE/UFES - SEAGRO 2018</w:t>
      </w:r>
    </w:p>
    <w:p>
      <w:pPr>
        <w:pStyle w:val="Endereos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17 à 21 de Setembro de 2018, Alegre - ES, Brasil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>RESUMO -</w:t>
      </w:r>
      <w:r>
        <w:rPr>
          <w:sz w:val="20"/>
          <w:szCs w:val="20"/>
        </w:rPr>
        <w:t xml:space="preserve"> </w:t>
      </w:r>
      <w:r>
        <w:rPr>
          <w:rFonts w:eastAsia="Arial"/>
          <w:sz w:val="20"/>
          <w:szCs w:val="20"/>
        </w:rPr>
        <w:t xml:space="preserve">As anonáceas compreendem um grande número de gêneros e espécies, a maioria nativas das regiões tropicais ou subtropicais. </w:t>
      </w:r>
      <w:r>
        <w:rPr>
          <w:sz w:val="20"/>
          <w:szCs w:val="20"/>
        </w:rPr>
        <w:t xml:space="preserve">O objetivo da pesquisa foi testar diferentes tratamentos térmicos na germinação de sementes de pinha. </w:t>
      </w:r>
      <w:r>
        <w:rPr>
          <w:color w:val="000000"/>
          <w:sz w:val="20"/>
          <w:szCs w:val="20"/>
          <w:shd w:fill="FEFEFE" w:val="clear"/>
        </w:rPr>
        <w:t>O experimento foi conduzido no Laboratório de Propagação de plantas do IFES Campus Santa Teresa. As</w:t>
      </w:r>
      <w:r>
        <w:rPr>
          <w:color w:val="000000"/>
          <w:sz w:val="20"/>
          <w:szCs w:val="20"/>
        </w:rPr>
        <w:t xml:space="preserve"> sementes foram colhidas no campus, lavadas e despolpadas, sendo os tratamentos compostos de</w:t>
      </w:r>
      <w:r>
        <w:rPr>
          <w:sz w:val="20"/>
          <w:szCs w:val="20"/>
        </w:rPr>
        <w:t xml:space="preserve">: imersão por 30 minutos em: água com gelo (0ºC) e água fervendo por 30 minutos (100ºC), armazenamento em geladeira por 6 horas (10°C) e armazenamento em geladeira por 24 horas (10°C), </w:t>
      </w:r>
      <w:r>
        <w:rPr>
          <w:color w:val="000000"/>
          <w:sz w:val="20"/>
          <w:szCs w:val="20"/>
        </w:rPr>
        <w:t xml:space="preserve">e colocadas para germinar em papel germitest, câmara BOD, a 25°C, umedecidas com 2,5 vezes o peso do papel, onde foram avaliados a % de germinação, índice de velocidade de germinação e tempo médio de germinação. </w:t>
      </w:r>
      <w:r>
        <w:rPr>
          <w:sz w:val="20"/>
          <w:szCs w:val="20"/>
        </w:rPr>
        <w:t>O tratamento térmico não foi eficiente para melhorar a germinação de sementes de pinha, porém acelerou e diminuiu o tempo para germinação.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headerReference w:type="default" r:id="rId5"/>
          <w:footerReference w:type="default" r:id="rId6"/>
          <w:type w:val="nextPage"/>
          <w:pgSz w:w="11906" w:h="16838"/>
          <w:pgMar w:left="1417" w:right="1134" w:header="624" w:top="2268" w:footer="720" w:bottom="1417" w:gutter="0"/>
          <w:pgNumType w:fmt="decimal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PALAVRAS-CHAVE: </w:t>
      </w:r>
      <w:r>
        <w:rPr>
          <w:sz w:val="20"/>
          <w:szCs w:val="20"/>
        </w:rPr>
        <w:t>Geladeira;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Anonáceas;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Armazenamento.</w:t>
      </w:r>
      <w:r>
        <w:rPr>
          <w:b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KEYWORDS:</w:t>
      </w:r>
      <w:r>
        <w:rPr>
          <w:sz w:val="20"/>
          <w:szCs w:val="20"/>
        </w:rPr>
        <w:t xml:space="preserve"> Refrigerator; Anonáceas; Storage.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SEÇÃO: </w:t>
      </w:r>
      <w:r>
        <w:rPr>
          <w:sz w:val="20"/>
          <w:szCs w:val="20"/>
        </w:rPr>
        <w:t>Fitotecnia</w:t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INTRODUÇÃO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>As anonáceas compreendem um grande número de gêneros e espécies, a maioria nativas das regiões tropicais ou subtropicais. Muitas espécies apresentam interesse como frutíferas comerciais, sendo cultivadas em vários países. No Brasil, é crescente o interesse pela produção dessas frutas, principalmente pinha ou fruta-do-conde (</w:t>
      </w:r>
      <w:r>
        <w:rPr>
          <w:rFonts w:eastAsia="Arial"/>
          <w:i/>
          <w:sz w:val="20"/>
          <w:szCs w:val="20"/>
        </w:rPr>
        <w:t xml:space="preserve">Annona squamosa </w:t>
      </w:r>
      <w:r>
        <w:rPr>
          <w:rFonts w:eastAsia="Arial"/>
          <w:sz w:val="20"/>
          <w:szCs w:val="20"/>
        </w:rPr>
        <w:t>L.) e atemóia (</w:t>
      </w:r>
      <w:r>
        <w:rPr>
          <w:rFonts w:eastAsia="Arial"/>
          <w:i/>
          <w:sz w:val="20"/>
          <w:szCs w:val="20"/>
        </w:rPr>
        <w:t xml:space="preserve">Annona cherimola </w:t>
      </w:r>
      <w:r>
        <w:rPr>
          <w:rFonts w:eastAsia="Arial"/>
          <w:sz w:val="20"/>
          <w:szCs w:val="20"/>
        </w:rPr>
        <w:t xml:space="preserve">Mill. X </w:t>
      </w:r>
      <w:r>
        <w:rPr>
          <w:rFonts w:eastAsia="Arial"/>
          <w:i/>
          <w:sz w:val="20"/>
          <w:szCs w:val="20"/>
        </w:rPr>
        <w:t xml:space="preserve">Annona squamosa </w:t>
      </w:r>
      <w:r>
        <w:rPr>
          <w:rFonts w:eastAsia="Arial"/>
          <w:sz w:val="20"/>
          <w:szCs w:val="20"/>
        </w:rPr>
        <w:t>L.) (DONADIO, 1997). A fruta desenvolve-se bem em regiões de clima quente (KAVATI, 1992).</w:t>
      </w:r>
    </w:p>
    <w:p>
      <w:pPr>
        <w:pStyle w:val="Normal"/>
        <w:spacing w:lineRule="auto" w:line="240" w:before="0" w:after="0"/>
        <w:ind w:firstLine="708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 xml:space="preserve">A forma de propagação mais indicada para as anonáceas é a enxertia, sendo que o porta-enxerto tem sido obtido por sementes (GEORGE &amp; NISSEN, 1987; GAMA &amp; MANICA, 1994). Entretanto, as sementes dessas plantas apresentam substâncias inibidoras de germinação que provocam dormência o que, juntamente com um tegumento resistente e impermeável, proporcionam fatores antagônicos à germinação rápida e uniforme (PAWSHE et al., 1997). 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O fator temperatura é de extrema importância na germinação, exercendo forte influência na velocidade e uniformidade de germinação das semenetes e está relacionada com os processos bioquímicos (CARVALHO &amp; NAKAGAWA, 2000). As sementes apresentam comportamento variável em diferentes temperaturas, não havendo temperatura ótima e uniforme de germinação para todas as espécies.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Dentre os métodos físicos, a eficácia da termoterapia, que consiste na exposição das sementes à ação do calor ou frio em combinação com o tempo de tratamento, tem sido demonstrada em vários estudos (TRIGO et al., 1998; MACHADO, 2000).</w:t>
      </w:r>
    </w:p>
    <w:p>
      <w:pPr>
        <w:pStyle w:val="Normal"/>
        <w:spacing w:lineRule="auto" w:line="240" w:before="0" w:after="0"/>
        <w:ind w:firstLine="708"/>
        <w:jc w:val="both"/>
        <w:rPr>
          <w:b/>
          <w:b/>
          <w:sz w:val="20"/>
          <w:szCs w:val="20"/>
        </w:rPr>
      </w:pPr>
      <w:r>
        <w:rPr>
          <w:sz w:val="20"/>
          <w:szCs w:val="20"/>
        </w:rPr>
        <w:t>Para que o processo de germinação ocorra de forma mais uniforme e com o maior percentual possível, têm-se alguns procedimentos que podem ser adotados nas sementes, como a identificação adequada de temperatura ambiente e a aplicação de reguladores vegetais (FERRARI et al., 2008). Normalmente, a temperatura atua como forma de quebrar a dormência fisiológica para a germinação de sementes de algumas espécies, mas em geral serve para regular as atividades metabólicas específicas da germinação, fazendo com que o processo seja mais rápido ou mais lento. Com isso, o que se deseja é que a temperatura esteja na forma considerada ótima para que haja maior germinação em menor período de tempo (SANTOS et al., 2005)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 objetivo da pesquisa foi testar diferentes tratamentos térmicos na germinação de sementes de pinha.</w:t>
      </w:r>
    </w:p>
    <w:p>
      <w:pPr>
        <w:pStyle w:val="Normal"/>
        <w:spacing w:lineRule="auto" w:line="240" w:before="0" w:after="0"/>
        <w:ind w:firstLine="708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MATERIAL E MÉTODOS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Pa10"/>
        <w:spacing w:lineRule="auto" w:line="240" w:before="0" w:after="16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shd w:fill="FEFEFE" w:val="clear"/>
        </w:rPr>
        <w:t>O experimento foi conduzido no Laboratório de Propagação de plantas do IFES Campus Santa Teresa. As</w:t>
      </w:r>
      <w:r>
        <w:rPr>
          <w:rFonts w:ascii="Times New Roman" w:hAnsi="Times New Roman"/>
          <w:color w:val="000000"/>
          <w:sz w:val="20"/>
          <w:szCs w:val="20"/>
        </w:rPr>
        <w:t xml:space="preserve"> sementes foram colhidas na região do campus, despolpadas e submetidas aos tratamentos sendo eles:</w:t>
      </w:r>
      <w:r>
        <w:rPr>
          <w:rFonts w:ascii="Times New Roman" w:hAnsi="Times New Roman"/>
          <w:sz w:val="20"/>
          <w:szCs w:val="20"/>
        </w:rPr>
        <w:t xml:space="preserve"> imersão em água natural por 30 minutos (testemunha), imersão por 30 minutos em  água com gelo (0ºC) , armazenamento em geladeira por 6 horas (10°C), armazenamento em geladeira por 24 horas (10°C), imersão em água fervendo por 30 minutos (100ºC), </w:t>
      </w:r>
      <w:r>
        <w:rPr>
          <w:rFonts w:ascii="Times New Roman" w:hAnsi="Times New Roman"/>
          <w:color w:val="000000"/>
          <w:sz w:val="20"/>
          <w:szCs w:val="20"/>
        </w:rPr>
        <w:t>e colocadas para germinar em papel germitest, câmara BOD, a 25°C, umedecidas com 2,5 vezes o peso do papel, onde foram avaliados a % de germinação (G), índice de velocidade de germinação (IVG) e tempo médio de germinação (TMG).</w:t>
      </w:r>
    </w:p>
    <w:p>
      <w:pPr>
        <w:pStyle w:val="Normal"/>
        <w:spacing w:lineRule="auto" w:line="240" w:before="0" w:after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O experimento foi preparado em delineamento inteiramente casualizado (DIC), com cinco tratamentos e quatro repetições, sendo que cada unidade experimental foi composta por vinte e cinco sementes.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Após germinação da primeira semente e durante trinta dias, foi avaliada a porcentagem de germinação (G); </w:t>
      </w:r>
      <w:r>
        <w:rPr>
          <w:rStyle w:val="A4"/>
          <w:rFonts w:eastAsia="Courier New" w:cs="Times New Roman" w:ascii="Times New Roman" w:hAnsi="Times New Roman"/>
        </w:rPr>
        <w:t>índice de velocidade de germinação (IVG) (MAGUIRE, 1962); tempo médio de germinação (TMG) (</w:t>
      </w:r>
      <w:r>
        <w:rPr>
          <w:rFonts w:cs="Times New Roman" w:ascii="Times New Roman" w:hAnsi="Times New Roman"/>
          <w:sz w:val="20"/>
          <w:szCs w:val="20"/>
        </w:rPr>
        <w:t xml:space="preserve">LABORIAU &amp; VALADARES, 1976), sendo selecionadas dez plantas por tratamento em cada repetição. 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Os dados experimentais foram submetidos aos testes de Shapiro-Wilks (p&lt;0,05), para verificação da normalidade e</w:t>
      </w:r>
      <w:r>
        <w:rPr>
          <w:rFonts w:cs="Times New Roman" w:ascii="Times New Roman" w:hAnsi="Times New Roman"/>
          <w:sz w:val="20"/>
          <w:szCs w:val="20"/>
        </w:rPr>
        <w:t xml:space="preserve"> à análise de variância, sendo as médias de cada característica comparadas pelo teste de Tukey em nível de 5% de probabilidade com auxilio do programa R.</w:t>
      </w:r>
    </w:p>
    <w:p>
      <w:pPr>
        <w:pStyle w:val="Normal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RESULTADOS E DISCUSSÃO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O tratamento térmico não se mostrou eficiente para melhorar a germinação das sementes de pinha, os tratamentos com imersão por 30 minutos em água com gelo (0ºC), armazenamento em geladeira por 6 horas (10°C), armazenamento em geladeira por 24 horas (10°C), mostraram-se inferior à testemunha, com diferença estatística para os tratamentos térmicos. O tratamento com água fervendo (100°C) matou o embrião não apresentando resultados, mostrando que a semente de semente de pinha é sensível a este tratamento, não recomendado para esta espécie (Tabela 1).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Quando comparado à avaliação do IVE, observamos que os tratamentos térmicos com imersão por 30 minutos em água com gelo (0ºC) e o tratamento com armazenamento em geladeira por 24 horas (10°C) apresentaram os melhores resultados, superiores a testemunha e ao tratamento em geladeira por 6 horas (10°C), com diferença estatística entre estes tratamentos (Tabela 1).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Carvalho &amp; Nakagawa (2000) citam que ao submeter o embrião da semente em temperatura fora do limite satisfatório, pode provocar redução no seu potencial germinativo, fato também observado nesta pesquisa, onde o tratamento térmico não teve ação positiva na germinação desta espécie.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Na avaliação do TME, os tratamentos com imersão por 30 minutos em água com gelo (0ºC) e o tratamento com armazenamento em geladeira por 24 horas (10°C) apresentaram tempo de emergência menor que a testemunha, com diferença estatística para esta variável O tratamento com gelo (0ºC) apresentou a maior velocidade de emergência no menor tempo, seguido do tratamento em geladeira por 24 horas (10°C) com diferença estatística para os outros tratamentos (Tabela 1).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Welter el al. (2011) estudando o efeito do tratamento térmico em maracujá amarelo azedo, considerou vantajosa a aplicação da termoterapia nesta espécie por obter maior número de plântulas uniformes em menor tempo de germinação, além de inibir a manifestação da bactéria </w:t>
      </w:r>
      <w:r>
        <w:rPr>
          <w:i/>
          <w:sz w:val="20"/>
          <w:szCs w:val="20"/>
        </w:rPr>
        <w:t>Xanthomonas campestris</w:t>
      </w:r>
      <w:r>
        <w:rPr>
          <w:sz w:val="20"/>
          <w:szCs w:val="20"/>
        </w:rPr>
        <w:t xml:space="preserve"> pv. passiflorae causadora da mancha bacteriana. As plântulas de maracujá obtidas apresentaram visualmente excelente qualidade sanitária, porém, o pré-tratamento das sementes a 60</w:t>
      </w:r>
      <w:r>
        <w:rPr>
          <w:sz w:val="20"/>
          <w:szCs w:val="20"/>
          <w:vertAlign w:val="superscript"/>
        </w:rPr>
        <w:t>o</w:t>
      </w:r>
      <w:r>
        <w:rPr>
          <w:sz w:val="20"/>
          <w:szCs w:val="20"/>
        </w:rPr>
        <w:t xml:space="preserve"> C provocou redução significativa na germinação das sementes deste maracujá, fato que pode prejudicar o desenvolvimento inicial das plântulas.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Silva et al</w:t>
      </w:r>
      <w:r>
        <w:rPr>
          <w:i/>
          <w:sz w:val="20"/>
          <w:szCs w:val="20"/>
        </w:rPr>
        <w:t>.</w:t>
      </w:r>
      <w:r>
        <w:rPr>
          <w:sz w:val="20"/>
          <w:szCs w:val="20"/>
        </w:rPr>
        <w:t xml:space="preserve"> (2016) estudando a qualidade fisiológica (germinação e vigor) das sementes de romã, observou que as sementes  foram afetadas negativamente com a utilização dos métodos de crioconservação, com temperaturas de 170°C, apresentando um decréscimo no percentual no decorrer do armazenamento (trinta dias), e germinação de 56%. Esta avaliação mostra que a semente de romã é resistente a temperaturas abaixo de zero e que o tratamento não prejudica a germinação e emergências de suas plântulas.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O tratamento em geladeira por 6 horas (10°C) não expos as sementes tempo suficiente a um ambiente frio capaz de atuar no estímulo a germinação, fazendo com que este tratamento seja inviável para esta espécie.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Considerando os resultados observados, podemos constatar que para germinação, apenas fazer o tratamento com água pura é suficiente para melhorar a germinação da semente de pinha, porém o tratamento térmico realizado nesta pesquisa acelerou e diminuiu o tempo de germinação, dando opção ao produtor de mudas para escolher qual o tratamento será mais vantajoso para sua produção.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>Tabela 1 – Dados referentes à germinação de sementes de pinha</w:t>
      </w:r>
    </w:p>
    <w:tbl>
      <w:tblPr>
        <w:tblW w:w="7199" w:type="dxa"/>
        <w:jc w:val="center"/>
        <w:tblInd w:w="0" w:type="dxa"/>
        <w:tblBorders>
          <w:top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947"/>
        <w:gridCol w:w="1417"/>
        <w:gridCol w:w="1417"/>
        <w:gridCol w:w="1417"/>
      </w:tblGrid>
      <w:tr>
        <w:trPr>
          <w:trHeight w:val="231" w:hRule="atLeast"/>
        </w:trPr>
        <w:tc>
          <w:tcPr>
            <w:tcW w:w="294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Tratamentos</w:t>
            </w:r>
          </w:p>
        </w:tc>
        <w:tc>
          <w:tcPr>
            <w:tcW w:w="141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G</w:t>
            </w:r>
          </w:p>
        </w:tc>
        <w:tc>
          <w:tcPr>
            <w:tcW w:w="141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IVG</w:t>
            </w:r>
          </w:p>
        </w:tc>
        <w:tc>
          <w:tcPr>
            <w:tcW w:w="141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TMG</w:t>
            </w:r>
          </w:p>
        </w:tc>
      </w:tr>
      <w:tr>
        <w:trPr>
          <w:trHeight w:val="231" w:hRule="atLeast"/>
        </w:trPr>
        <w:tc>
          <w:tcPr>
            <w:tcW w:w="294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Testemunha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82  a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0,4135 b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15,220 a</w:t>
            </w:r>
          </w:p>
        </w:tc>
      </w:tr>
      <w:tr>
        <w:trPr>
          <w:trHeight w:val="257" w:hRule="atLeast"/>
        </w:trPr>
        <w:tc>
          <w:tcPr>
            <w:tcW w:w="294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Geladeira 6 hs 10°C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32 c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3,513 c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5,726 b</w:t>
            </w:r>
          </w:p>
        </w:tc>
      </w:tr>
      <w:tr>
        <w:trPr>
          <w:trHeight w:val="245" w:hRule="atLeast"/>
        </w:trPr>
        <w:tc>
          <w:tcPr>
            <w:tcW w:w="294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Geladeira 24 hs 10°C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51 b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5,371 a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2,453 c</w:t>
            </w:r>
          </w:p>
        </w:tc>
      </w:tr>
      <w:tr>
        <w:trPr>
          <w:trHeight w:val="245" w:hRule="atLeast"/>
        </w:trPr>
        <w:tc>
          <w:tcPr>
            <w:tcW w:w="294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Gelo 0°C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48 b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5,763 a</w:t>
            </w:r>
          </w:p>
        </w:tc>
        <w:tc>
          <w:tcPr>
            <w:tcW w:w="141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2,348 c</w:t>
            </w:r>
          </w:p>
        </w:tc>
      </w:tr>
      <w:tr>
        <w:trPr>
          <w:trHeight w:val="245" w:hRule="atLeast"/>
        </w:trPr>
        <w:tc>
          <w:tcPr>
            <w:tcW w:w="294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 à 100°C</w:t>
            </w:r>
          </w:p>
        </w:tc>
        <w:tc>
          <w:tcPr>
            <w:tcW w:w="141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bottom w:val="single" w:sz="2" w:space="0" w:color="000000"/>
              <w:insideH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Médias, seguidas das mesmas letras nas colunas são estatisticamente iguais pelo teste Tukey em 5% de probabilidade.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CONCLUSÃO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 tratamento térmico não foi eficiente para melhorar a germinação de sementes de pinha, porém acelerou e diminuiu o tempo para germinação.</w:t>
      </w:r>
    </w:p>
    <w:p>
      <w:pPr>
        <w:pStyle w:val="TAMainText"/>
        <w:spacing w:lineRule="auto" w:line="240"/>
        <w:ind w:hanging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</w:r>
    </w:p>
    <w:p>
      <w:pPr>
        <w:pStyle w:val="TAMainText"/>
        <w:spacing w:lineRule="auto" w:line="240"/>
        <w:ind w:hanging="0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REFERÊNCIAS</w:t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CARVALHO, N.M.; NAKAGAWA, J. </w:t>
      </w:r>
      <w:r>
        <w:rPr>
          <w:b/>
          <w:sz w:val="20"/>
          <w:szCs w:val="20"/>
        </w:rPr>
        <w:t>Sementes:</w:t>
      </w:r>
      <w:r>
        <w:rPr>
          <w:sz w:val="20"/>
          <w:szCs w:val="20"/>
        </w:rPr>
        <w:t xml:space="preserve"> ciência, tecnologia e produção. 4.ed., Jaboticabal, FUNEP, 588p. 2000.</w:t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 xml:space="preserve">DONADIO, L.C. Situação Atual e Perspectivas das Anonáceas. In: SÃO JOSÉ, A.R.; SOUZA, I.V.B.; MORAIS, O.M. &amp; REBOUÇAS, T.N.H. </w:t>
      </w:r>
      <w:r>
        <w:rPr>
          <w:rFonts w:eastAsia="Arial"/>
          <w:b/>
          <w:sz w:val="20"/>
          <w:szCs w:val="20"/>
        </w:rPr>
        <w:t xml:space="preserve">Anonáceas, Produção e Mercado: </w:t>
      </w:r>
      <w:r>
        <w:rPr>
          <w:rFonts w:eastAsia="Arial"/>
          <w:sz w:val="20"/>
          <w:szCs w:val="20"/>
        </w:rPr>
        <w:t>Pinha, Graviola, Atemóia e Cherimólia. Vitória da Conquista: DFZ/UESB, p.1- 4. 1997.</w:t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FERRARI, T. B.; FERREIRA, G.; MISCHAN, M. M. PINHO, S. Z. Germinação de sementes de maracujá-doce (</w:t>
      </w:r>
      <w:r>
        <w:rPr>
          <w:i/>
          <w:sz w:val="20"/>
          <w:szCs w:val="20"/>
        </w:rPr>
        <w:t>Passiflora alata</w:t>
      </w:r>
      <w:r>
        <w:rPr>
          <w:sz w:val="20"/>
          <w:szCs w:val="20"/>
        </w:rPr>
        <w:t xml:space="preserve"> Curtis): Fases e efeito de reguladores vegetais. </w:t>
      </w:r>
      <w:r>
        <w:rPr>
          <w:b/>
          <w:sz w:val="20"/>
          <w:szCs w:val="20"/>
        </w:rPr>
        <w:t>Revista Biotemas</w:t>
      </w:r>
      <w:r>
        <w:rPr>
          <w:sz w:val="20"/>
          <w:szCs w:val="20"/>
        </w:rPr>
        <w:t>, v.21, n.3, p.65-74. 2008.</w:t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b/>
          <w:b/>
          <w:sz w:val="20"/>
          <w:szCs w:val="20"/>
          <w:lang w:val="en-US"/>
        </w:rPr>
      </w:pPr>
      <w:r>
        <w:rPr>
          <w:rFonts w:eastAsia="Arial"/>
          <w:sz w:val="20"/>
          <w:szCs w:val="20"/>
        </w:rPr>
        <w:t xml:space="preserve">GAMA, F. &amp; MANICA, I. Propagação. In: Manica, I. </w:t>
      </w:r>
      <w:r>
        <w:rPr>
          <w:rFonts w:eastAsia="Arial"/>
          <w:b/>
          <w:sz w:val="20"/>
          <w:szCs w:val="20"/>
        </w:rPr>
        <w:t xml:space="preserve">Cultivo das anonáceas: </w:t>
      </w:r>
      <w:r>
        <w:rPr>
          <w:rFonts w:eastAsia="Arial"/>
          <w:sz w:val="20"/>
          <w:szCs w:val="20"/>
        </w:rPr>
        <w:t xml:space="preserve">Ata, Cherimólia, Graviola. </w:t>
      </w:r>
      <w:r>
        <w:rPr>
          <w:rFonts w:eastAsia="Arial"/>
          <w:sz w:val="20"/>
          <w:szCs w:val="20"/>
          <w:lang w:val="en-US"/>
        </w:rPr>
        <w:t>Porto Alegre: EVANGRAF,</w:t>
      </w:r>
      <w:r>
        <w:rPr>
          <w:rFonts w:eastAsia="Arial"/>
          <w:b/>
          <w:sz w:val="20"/>
          <w:szCs w:val="20"/>
          <w:lang w:val="en-US"/>
        </w:rPr>
        <w:t xml:space="preserve"> </w:t>
      </w:r>
      <w:r>
        <w:rPr>
          <w:rFonts w:eastAsia="Arial"/>
          <w:sz w:val="20"/>
          <w:szCs w:val="20"/>
          <w:lang w:val="en-US"/>
        </w:rPr>
        <w:t>p. 30-37. 1994.</w:t>
      </w:r>
    </w:p>
    <w:p>
      <w:pPr>
        <w:pStyle w:val="Normal"/>
        <w:spacing w:lineRule="auto" w:line="240" w:before="0" w:after="0"/>
        <w:jc w:val="both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  <w:lang w:val="en-US"/>
        </w:rPr>
        <w:t xml:space="preserve">GEORGE, A.P. &amp; NISSEN, R.J. Propagation of Annona species, a review. </w:t>
      </w:r>
      <w:r>
        <w:rPr>
          <w:rFonts w:eastAsia="Arial"/>
          <w:b/>
          <w:sz w:val="20"/>
          <w:szCs w:val="20"/>
        </w:rPr>
        <w:t>Scientia Horticulturae</w:t>
      </w:r>
      <w:r>
        <w:rPr>
          <w:rFonts w:eastAsia="Arial"/>
          <w:sz w:val="20"/>
          <w:szCs w:val="20"/>
        </w:rPr>
        <w:t>, Amsterdam, v. 33, p. 75-85. 1987.</w:t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 xml:space="preserve">KAVATI, R.O. Cultivo de Atemóia. In: DONADIO, L.C.; MARTINS, A.B.G. &amp; VALENTE, J.P. </w:t>
      </w:r>
      <w:r>
        <w:rPr>
          <w:rFonts w:eastAsia="Arial"/>
          <w:b/>
          <w:sz w:val="20"/>
          <w:szCs w:val="20"/>
        </w:rPr>
        <w:t>Fruticultura tropical.</w:t>
      </w:r>
      <w:r>
        <w:rPr>
          <w:rFonts w:eastAsia="Arial"/>
          <w:sz w:val="20"/>
          <w:szCs w:val="20"/>
        </w:rPr>
        <w:t xml:space="preserve"> Jaboticabal, FUNEP, p. 39 – 70. 1992.</w:t>
      </w:r>
    </w:p>
    <w:p>
      <w:pPr>
        <w:pStyle w:val="Default"/>
        <w:tabs>
          <w:tab w:val="left" w:pos="709" w:leader="none"/>
        </w:tabs>
        <w:spacing w:lineRule="atLeast" w:line="281" w:before="240" w:after="160"/>
        <w:ind w:left="709" w:hanging="709"/>
        <w:jc w:val="both"/>
        <w:rPr>
          <w:sz w:val="20"/>
          <w:szCs w:val="20"/>
        </w:rPr>
      </w:pPr>
      <w:r>
        <w:rPr>
          <w:rStyle w:val="A4"/>
        </w:rPr>
        <w:t xml:space="preserve">LABOURIAU, L.G.; VALADARES, M.E.B. On the germination of seeds </w:t>
      </w:r>
      <w:r>
        <w:rPr>
          <w:rStyle w:val="A4"/>
          <w:i/>
          <w:iCs/>
        </w:rPr>
        <w:t xml:space="preserve">Calotropis procera </w:t>
      </w:r>
      <w:r>
        <w:rPr>
          <w:rStyle w:val="A4"/>
        </w:rPr>
        <w:t xml:space="preserve">(Ait.) Ait.f. </w:t>
      </w:r>
      <w:r>
        <w:rPr>
          <w:rStyle w:val="A4"/>
          <w:b/>
          <w:bCs/>
        </w:rPr>
        <w:t>Anais da Academia Brasileira de Ciências</w:t>
      </w:r>
      <w:r>
        <w:rPr>
          <w:rStyle w:val="A4"/>
        </w:rPr>
        <w:t>, Rio de Janeiro, v.48, n.2, p.263-284. 1976.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MACHADO, J. C. </w:t>
      </w:r>
      <w:r>
        <w:rPr>
          <w:b/>
          <w:sz w:val="20"/>
          <w:szCs w:val="20"/>
        </w:rPr>
        <w:t>Tratamento de sementes no controle de doenças</w:t>
      </w:r>
      <w:r>
        <w:rPr>
          <w:sz w:val="20"/>
          <w:szCs w:val="20"/>
        </w:rPr>
        <w:t xml:space="preserve">. </w:t>
      </w:r>
      <w:r>
        <w:rPr>
          <w:sz w:val="20"/>
          <w:szCs w:val="20"/>
          <w:lang w:val="en-US"/>
        </w:rPr>
        <w:t>Lavras, UFLA. 2000.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Default"/>
        <w:tabs>
          <w:tab w:val="left" w:pos="709" w:leader="none"/>
        </w:tabs>
        <w:spacing w:lineRule="atLeast" w:line="281" w:before="240" w:after="160"/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MAGUIRE, J.D. Speed of germination - aid in selection and evaluation for seedling emergence and vigor. </w:t>
      </w:r>
      <w:r>
        <w:rPr>
          <w:b/>
          <w:bCs/>
          <w:sz w:val="20"/>
          <w:szCs w:val="20"/>
          <w:lang w:val="en-US"/>
        </w:rPr>
        <w:t>Crop Science</w:t>
      </w:r>
      <w:r>
        <w:rPr>
          <w:b/>
          <w:sz w:val="20"/>
          <w:szCs w:val="20"/>
          <w:lang w:val="en-US"/>
        </w:rPr>
        <w:t>, Madison</w:t>
      </w:r>
      <w:r>
        <w:rPr>
          <w:sz w:val="20"/>
          <w:szCs w:val="20"/>
          <w:lang w:val="en-US"/>
        </w:rPr>
        <w:t xml:space="preserve">, v.2, n.2, p.176-177. 1962.  </w:t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  <w:lang w:val="en-US"/>
        </w:rPr>
        <w:t>PAWSHE, Y.H.; PATIL, B.N.; PATIL, L.P. Effect of pregermination seed treatment on the germination and vigour of seedlings in custard apple (</w:t>
      </w:r>
      <w:r>
        <w:rPr>
          <w:rFonts w:eastAsia="Arial"/>
          <w:i/>
          <w:sz w:val="20"/>
          <w:szCs w:val="20"/>
          <w:lang w:val="en-US"/>
        </w:rPr>
        <w:t xml:space="preserve">Annona squamosa </w:t>
      </w:r>
      <w:r>
        <w:rPr>
          <w:rFonts w:eastAsia="Arial"/>
          <w:sz w:val="20"/>
          <w:szCs w:val="20"/>
          <w:lang w:val="en-US"/>
        </w:rPr>
        <w:t xml:space="preserve">L.). </w:t>
      </w:r>
      <w:r>
        <w:rPr>
          <w:rFonts w:eastAsia="Arial"/>
          <w:b/>
          <w:sz w:val="20"/>
          <w:szCs w:val="20"/>
        </w:rPr>
        <w:t>Annals of Plant Physiology</w:t>
      </w:r>
      <w:r>
        <w:rPr>
          <w:rFonts w:eastAsia="Arial"/>
          <w:sz w:val="20"/>
          <w:szCs w:val="20"/>
        </w:rPr>
        <w:t>, v. 11, n. 2, p. 150-154. 1997.</w:t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SANTOS, D. L.; SUGAHARA, V. Y. &amp; TAKAKI, M. Efeitos da luz e da temperatura na germinação de sementes de </w:t>
      </w:r>
      <w:r>
        <w:rPr>
          <w:i/>
          <w:iCs/>
          <w:sz w:val="20"/>
          <w:szCs w:val="20"/>
        </w:rPr>
        <w:t>Tabebuia serratifolia</w:t>
      </w:r>
      <w:r>
        <w:rPr>
          <w:sz w:val="20"/>
          <w:szCs w:val="20"/>
        </w:rPr>
        <w:t xml:space="preserve"> (Vahl) Nich, </w:t>
      </w:r>
      <w:r>
        <w:rPr>
          <w:i/>
          <w:iCs/>
          <w:sz w:val="20"/>
          <w:szCs w:val="20"/>
        </w:rPr>
        <w:t>Tabebuia chrysotricha</w:t>
      </w:r>
      <w:r>
        <w:rPr>
          <w:sz w:val="20"/>
          <w:szCs w:val="20"/>
        </w:rPr>
        <w:t xml:space="preserve"> (Mart. ex DC.) Standl. e </w:t>
      </w:r>
      <w:r>
        <w:rPr>
          <w:i/>
          <w:iCs/>
          <w:sz w:val="20"/>
          <w:szCs w:val="20"/>
        </w:rPr>
        <w:t xml:space="preserve">Tabebuia roseo-alba </w:t>
      </w:r>
      <w:r>
        <w:rPr>
          <w:sz w:val="20"/>
          <w:szCs w:val="20"/>
        </w:rPr>
        <w:t xml:space="preserve">(Ridl) Sand – Bignoniaceae. </w:t>
      </w:r>
      <w:r>
        <w:rPr>
          <w:b/>
          <w:sz w:val="20"/>
          <w:szCs w:val="20"/>
        </w:rPr>
        <w:t>Ciência Florestal</w:t>
      </w:r>
      <w:r>
        <w:rPr>
          <w:sz w:val="20"/>
          <w:szCs w:val="20"/>
        </w:rPr>
        <w:t>, v.15, n.1, p.87-92. 2005.</w:t>
      </w:r>
    </w:p>
    <w:p>
      <w:pPr>
        <w:pStyle w:val="Normal"/>
        <w:spacing w:lineRule="auto" w:line="240" w:before="0" w:after="0"/>
        <w:ind w:left="709" w:hanging="709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SILVA, L. M. M. ; MATA, M. E. R. M. C.; DUARTE, M. E. M. Aspectos fisiológicos das sementes de romã e juá durante o armazenamento criogênico. </w:t>
      </w:r>
      <w:r>
        <w:rPr>
          <w:b/>
          <w:sz w:val="20"/>
          <w:szCs w:val="20"/>
        </w:rPr>
        <w:t>Engevista</w:t>
      </w:r>
      <w:r>
        <w:rPr>
          <w:sz w:val="20"/>
          <w:szCs w:val="20"/>
        </w:rPr>
        <w:t>, V. 18, n. 1, p. 1-10. 2016.</w:t>
      </w:r>
    </w:p>
    <w:p>
      <w:pPr>
        <w:pStyle w:val="Normal"/>
        <w:spacing w:lineRule="auto" w:line="240" w:before="0" w:after="0"/>
        <w:ind w:left="709" w:hanging="709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TRIGO, M. F. O.; PIEROBOM, C. R.; NEDEL, J. L.; TRIGO, L. F. N. Tratamento térmico em sementes de cenoura. </w:t>
      </w:r>
      <w:r>
        <w:rPr>
          <w:b/>
          <w:sz w:val="20"/>
          <w:szCs w:val="20"/>
        </w:rPr>
        <w:t>Pesquisa Agropecuária Brasileira</w:t>
      </w:r>
      <w:r>
        <w:rPr>
          <w:sz w:val="20"/>
          <w:szCs w:val="20"/>
        </w:rPr>
        <w:t>, v. 33, n. 1, p. 357-361. 1998.</w:t>
      </w:r>
    </w:p>
    <w:p>
      <w:pPr>
        <w:pStyle w:val="Normal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WELTER, M. K.; SMIDERLE, O. J.; UCHÔA, S. C. P.; CHANG, M. T.; MENDES, E. P. Germinação de sementes de maracujá amarelo azedo em função de tratamentos térmicos. </w:t>
      </w:r>
      <w:r>
        <w:rPr>
          <w:b/>
          <w:sz w:val="20"/>
          <w:szCs w:val="20"/>
        </w:rPr>
        <w:t>Revista Agro@mbiente On-line</w:t>
      </w:r>
      <w:r>
        <w:rPr>
          <w:sz w:val="20"/>
          <w:szCs w:val="20"/>
        </w:rPr>
        <w:t xml:space="preserve">, v. 5, n. 3, p. 227-232. </w:t>
      </w:r>
      <w:r>
        <w:rPr>
          <w:sz w:val="20"/>
          <w:szCs w:val="20"/>
          <w:lang w:val="en-US"/>
        </w:rPr>
        <w:t>2011.</w:t>
      </w:r>
    </w:p>
    <w:p>
      <w:pPr>
        <w:pStyle w:val="Normal"/>
        <w:spacing w:lineRule="auto" w:line="240" w:before="0" w:after="0"/>
        <w:ind w:left="709" w:hanging="709"/>
        <w:rPr/>
      </w:pPr>
      <w:r>
        <w:rPr/>
      </w:r>
    </w:p>
    <w:p>
      <w:pPr>
        <w:sectPr>
          <w:type w:val="continuous"/>
          <w:pgSz w:w="11906" w:h="16838"/>
          <w:pgMar w:left="1417" w:right="1134" w:header="624" w:top="2268" w:footer="720" w:bottom="1417" w:gutter="0"/>
          <w:formProt w:val="false"/>
          <w:textDirection w:val="lrTb"/>
          <w:docGrid w:type="default" w:linePitch="360" w:charSpace="4294961151"/>
        </w:sectPr>
      </w:pPr>
    </w:p>
    <w:sectPr>
      <w:type w:val="continuous"/>
      <w:pgSz w:w="11906" w:h="16838"/>
      <w:pgMar w:left="1417" w:right="1134" w:header="624" w:top="2268" w:footer="72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Nimbus Sans L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360" w:hanging="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mc:AlternateContent>
        <mc:Choice Requires="wps">
          <w:drawing>
            <wp:anchor behindDoc="1" distT="0" distB="0" distL="114300" distR="114300" simplePos="0" locked="0" layoutInCell="1" allowOverlap="1" relativeHeight="5" wp14:anchorId="27728470">
              <wp:simplePos x="0" y="0"/>
              <wp:positionH relativeFrom="column">
                <wp:posOffset>-34925</wp:posOffset>
              </wp:positionH>
              <wp:positionV relativeFrom="paragraph">
                <wp:posOffset>116840</wp:posOffset>
              </wp:positionV>
              <wp:extent cx="5777230" cy="1905"/>
              <wp:effectExtent l="11430" t="12065" r="13335" b="6985"/>
              <wp:wrapNone/>
              <wp:docPr id="2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6560" cy="144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75pt,9.2pt" to="452.05pt,9.25pt" ID="Line 2" stroked="t" style="position:absolute" wp14:anchorId="27728470">
              <v:stroke color="black" weight="9360" joinstyle="miter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9" wp14:anchorId="59322307">
              <wp:simplePos x="0" y="0"/>
              <wp:positionH relativeFrom="column">
                <wp:posOffset>-34925</wp:posOffset>
              </wp:positionH>
              <wp:positionV relativeFrom="paragraph">
                <wp:posOffset>116840</wp:posOffset>
              </wp:positionV>
              <wp:extent cx="5777230" cy="1905"/>
              <wp:effectExtent l="11430" t="12065" r="13335" b="6985"/>
              <wp:wrapNone/>
              <wp:docPr id="3" name="Lin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6560" cy="144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75pt,9.2pt" to="452.05pt,9.25pt" ID="Line 6" stroked="t" style="position:absolute" wp14:anchorId="59322307">
              <v:stroke color="black" weight="9360" joinstyle="miter" endcap="flat"/>
              <v:fill o:detectmouseclick="t" on="false"/>
            </v:line>
          </w:pict>
        </mc:Fallback>
      </mc:AlternateContent>
    </w:r>
  </w:p>
  <w:p>
    <w:pPr>
      <w:pStyle w:val="Rodap"/>
      <w:ind w:right="360" w:hanging="0"/>
      <w:jc w:val="right"/>
      <w:rPr>
        <w:sz w:val="18"/>
        <w:szCs w:val="18"/>
        <w:lang w:eastAsia="pt-BR"/>
      </w:rPr>
    </w:pPr>
    <w:r>
      <w:rPr>
        <w:sz w:val="18"/>
        <w:szCs w:val="18"/>
        <w:lang w:eastAsia="pt-BR"/>
      </w:rPr>
      <w:t>SEAGRO: Anais de Semana Acadêmica do Curso de Agronomia do CCAE/UFES, v. 2, n.1, 2018</w:t>
    </w:r>
  </w:p>
  <w:p>
    <w:pPr>
      <w:pStyle w:val="Rodap"/>
      <w:spacing w:before="0" w:after="160"/>
      <w:ind w:right="360" w:hanging="0"/>
      <w:jc w:val="right"/>
      <w:rPr>
        <w:rFonts w:ascii="Tahoma" w:hAnsi="Tahoma"/>
        <w:sz w:val="20"/>
      </w:rPr>
    </w:pPr>
    <w:r>
      <w:rPr>
        <w:sz w:val="18"/>
        <w:szCs w:val="18"/>
        <w:lang w:eastAsia="pt-BR"/>
      </w:rPr>
      <w:t xml:space="preserve"> </w:t>
    </w:r>
    <w:r>
      <w:rPr>
        <w:sz w:val="18"/>
        <w:szCs w:val="18"/>
        <w:lang w:eastAsia="pt-BR"/>
      </w:rPr>
      <w:t>ISSN: 2594-4452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pacing w:before="0" w:after="160"/>
      <w:ind w:left="-567" w:right="-569" w:hanging="0"/>
      <w:jc w:val="center"/>
      <w:rPr/>
    </w:pPr>
    <w:r>
      <w:rPr/>
      <w:drawing>
        <wp:inline distT="0" distB="0" distL="0" distR="0">
          <wp:extent cx="5760085" cy="828675"/>
          <wp:effectExtent l="0" t="0" r="0" b="0"/>
          <wp:docPr id="1" name="Picture 2" descr="cabeçá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cabeçári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pacing w:lineRule="auto" w:line="276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ne number" w:semiHidden="0" w:unhideWhenUsed="0"/>
    <w:lsdException w:name="page number" w:semiHidden="0" w:unhideWhenUsed="0"/>
    <w:lsdException w:name="List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semiHidden="0"/>
    <w:lsdException w:name="Body Tex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semiHidden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uiPriority="20" w:semiHidden="0" w:unhideWhenUsed="0" w:qFormat="1"/>
    <w:lsdException w:name="HTML Top of Form" w:uiPriority="99"/>
    <w:lsdException w:name="HTML Bottom of Form" w:uiPriority="99"/>
    <w:lsdException w:name="Normal Table" w:uiPriority="99" w:semiHidden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ar-SA" w:bidi="ar-SA"/>
    </w:rPr>
  </w:style>
  <w:style w:type="paragraph" w:styleId="Ttulo1">
    <w:name w:val="Título 1"/>
    <w:basedOn w:val="Normal"/>
    <w:qFormat/>
    <w:pPr>
      <w:keepNext/>
      <w:tabs>
        <w:tab w:val="right" w:pos="8640" w:leader="none"/>
      </w:tabs>
      <w:spacing w:lineRule="auto" w:line="360" w:before="280" w:after="160"/>
      <w:outlineLvl w:val="0"/>
    </w:pPr>
    <w:rPr>
      <w:rFonts w:ascii="Garamond" w:hAnsi="Garamond"/>
      <w:b/>
      <w:spacing w:val="-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Linenumber">
    <w:name w:val="line number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Pagenumber">
    <w:name w:val="page number"/>
    <w:basedOn w:val="Fontepargpadro1"/>
    <w:qFormat/>
    <w:rPr/>
  </w:style>
  <w:style w:type="character" w:styleId="TextodebaloChar" w:customStyle="1">
    <w:name w:val="Texto de balão Char"/>
    <w:link w:val="Textodebalo"/>
    <w:qFormat/>
    <w:rPr>
      <w:rFonts w:ascii="Tahoma" w:hAnsi="Tahoma" w:cs="Tahoma"/>
      <w:sz w:val="16"/>
      <w:szCs w:val="16"/>
      <w:lang w:eastAsia="ar-SA"/>
    </w:rPr>
  </w:style>
  <w:style w:type="character" w:styleId="A4" w:customStyle="1">
    <w:name w:val="A4"/>
    <w:uiPriority w:val="99"/>
    <w:qFormat/>
    <w:rsid w:val="00cf4fa3"/>
    <w:rPr>
      <w:color w:val="000000"/>
      <w:sz w:val="20"/>
      <w:szCs w:val="20"/>
    </w:rPr>
  </w:style>
  <w:style w:type="character" w:styleId="Nfase">
    <w:name w:val="Ênfase"/>
    <w:uiPriority w:val="20"/>
    <w:qFormat/>
    <w:rsid w:val="00e94cb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before="0" w:after="120"/>
    </w:pPr>
    <w:rPr/>
  </w:style>
  <w:style w:type="paragraph" w:styleId="Lista">
    <w:name w:val="Lista"/>
    <w:basedOn w:val="Corpodetexto"/>
    <w:pPr/>
    <w:rPr/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BodyText3">
    <w:name w:val="Body Text 3"/>
    <w:basedOn w:val="Normal"/>
    <w:unhideWhenUsed/>
    <w:qFormat/>
    <w:pPr>
      <w:spacing w:before="0" w:after="120"/>
    </w:pPr>
    <w:rPr>
      <w:sz w:val="16"/>
      <w:szCs w:val="16"/>
    </w:rPr>
  </w:style>
  <w:style w:type="paragraph" w:styleId="Cabealho">
    <w:name w:val="Cabeçalho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Rodap">
    <w:name w:val="Rodapé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Captulo" w:customStyle="1">
    <w:name w:val="Capítulo"/>
    <w:basedOn w:val="Normal"/>
    <w:qFormat/>
    <w:pPr>
      <w:keepNext/>
      <w:spacing w:before="240" w:after="120"/>
    </w:pPr>
    <w:rPr>
      <w:rFonts w:ascii="Nimbus Sans L" w:hAnsi="Nimbus Sans L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</w:rPr>
  </w:style>
  <w:style w:type="paragraph" w:styleId="TitulodoResumo" w:customStyle="1">
    <w:name w:val="Titulo do Resumo"/>
    <w:basedOn w:val="Normal"/>
    <w:qFormat/>
    <w:pPr>
      <w:jc w:val="center"/>
    </w:pPr>
    <w:rPr>
      <w:rFonts w:ascii="Arial" w:hAnsi="Arial" w:cs="Arial"/>
      <w:b/>
      <w:bCs/>
    </w:rPr>
  </w:style>
  <w:style w:type="paragraph" w:styleId="Nomeautoreseorientadores" w:customStyle="1">
    <w:name w:val="nome autores e orientadores"/>
    <w:basedOn w:val="Normal"/>
    <w:qFormat/>
    <w:pPr>
      <w:jc w:val="center"/>
    </w:pPr>
    <w:rPr>
      <w:rFonts w:ascii="Arial" w:hAnsi="Arial" w:cs="Arial"/>
      <w:b/>
      <w:bCs/>
      <w:i/>
      <w:iCs/>
    </w:rPr>
  </w:style>
  <w:style w:type="paragraph" w:styleId="Palavraschave" w:customStyle="1">
    <w:name w:val="Palavras-chave"/>
    <w:basedOn w:val="Normal"/>
    <w:qFormat/>
    <w:pPr/>
    <w:rPr>
      <w:rFonts w:ascii="Arial" w:hAnsi="Arial" w:cs="Arial"/>
      <w:sz w:val="20"/>
    </w:rPr>
  </w:style>
  <w:style w:type="paragraph" w:styleId="Readeconhecimento" w:customStyle="1">
    <w:name w:val="Área de conhecimento"/>
    <w:basedOn w:val="Normal"/>
    <w:qFormat/>
    <w:pPr/>
    <w:rPr>
      <w:rFonts w:ascii="Arial" w:hAnsi="Arial" w:cs="Arial"/>
      <w:sz w:val="20"/>
    </w:rPr>
  </w:style>
  <w:style w:type="paragraph" w:styleId="Endereos" w:customStyle="1">
    <w:name w:val="Endereços"/>
    <w:basedOn w:val="Normal"/>
    <w:qFormat/>
    <w:pPr>
      <w:jc w:val="center"/>
    </w:pPr>
    <w:rPr>
      <w:rFonts w:ascii="Arial" w:hAnsi="Arial" w:cs="Arial"/>
      <w:sz w:val="20"/>
    </w:rPr>
  </w:style>
  <w:style w:type="paragraph" w:styleId="Palavrachave" w:customStyle="1">
    <w:name w:val="Palavra chave"/>
    <w:basedOn w:val="Normal"/>
    <w:qFormat/>
    <w:pPr/>
    <w:rPr>
      <w:rFonts w:ascii="Arial" w:hAnsi="Arial" w:cs="Arial"/>
      <w:sz w:val="20"/>
    </w:rPr>
  </w:style>
  <w:style w:type="paragraph" w:styleId="Resumo" w:customStyle="1">
    <w:name w:val="Resumo"/>
    <w:basedOn w:val="Cabealho"/>
    <w:qFormat/>
    <w:pPr>
      <w:spacing w:before="120" w:after="120"/>
      <w:jc w:val="both"/>
    </w:pPr>
    <w:rPr>
      <w:rFonts w:ascii="Arial" w:hAnsi="Arial" w:cs="Arial"/>
      <w:sz w:val="20"/>
    </w:rPr>
  </w:style>
  <w:style w:type="paragraph" w:styleId="TextosemFormatao1" w:customStyle="1">
    <w:name w:val="Texto sem Formatação1"/>
    <w:basedOn w:val="Normal"/>
    <w:qFormat/>
    <w:pPr/>
    <w:rPr>
      <w:rFonts w:ascii="Courier New" w:hAnsi="Courier New"/>
      <w:sz w:val="20"/>
      <w:lang w:val="hr-HR"/>
    </w:rPr>
  </w:style>
  <w:style w:type="paragraph" w:styleId="Contedodatabela" w:customStyle="1">
    <w:name w:val="Conteúdo da tabela"/>
    <w:basedOn w:val="Normal"/>
    <w:qFormat/>
    <w:rsid w:val="00cf4fa3"/>
    <w:pPr>
      <w:suppressLineNumbers/>
      <w:spacing w:lineRule="auto" w:line="240" w:before="0" w:after="0"/>
      <w:textAlignment w:val="baseline"/>
    </w:pPr>
    <w:rPr>
      <w:rFonts w:ascii="Liberation Serif" w:hAnsi="Liberation Serif" w:eastAsia="SimSun" w:cs="Mangal"/>
      <w:lang w:eastAsia="zh-CN" w:bidi="hi-IN"/>
    </w:rPr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Corpodetexto"/>
    <w:qFormat/>
    <w:pPr/>
    <w:rPr/>
  </w:style>
  <w:style w:type="paragraph" w:styleId="BATitle" w:customStyle="1">
    <w:name w:val="BA_Title"/>
    <w:basedOn w:val="Normal"/>
    <w:next w:val="Normal"/>
    <w:qFormat/>
    <w:rsid w:val="00f347b3"/>
    <w:pPr>
      <w:suppressAutoHyphens w:val="false"/>
      <w:overflowPunct w:val="false"/>
      <w:spacing w:lineRule="exact" w:line="480" w:before="720" w:after="240"/>
      <w:ind w:right="3024" w:hanging="0"/>
      <w:textAlignment w:val="baseline"/>
    </w:pPr>
    <w:rPr>
      <w:rFonts w:ascii="Helvetica" w:hAnsi="Helvetica" w:cs="Helvetica"/>
      <w:b/>
      <w:bCs/>
      <w:sz w:val="44"/>
      <w:szCs w:val="44"/>
      <w:lang w:val="en-US" w:eastAsia="pt-BR"/>
    </w:rPr>
  </w:style>
  <w:style w:type="paragraph" w:styleId="BCAuthorAddress" w:customStyle="1">
    <w:name w:val="BC_Author_Address"/>
    <w:basedOn w:val="Normal"/>
    <w:next w:val="Normal"/>
    <w:qFormat/>
    <w:rsid w:val="00cf4fa3"/>
    <w:pPr>
      <w:suppressAutoHyphens w:val="false"/>
      <w:overflowPunct w:val="false"/>
      <w:spacing w:lineRule="exact" w:line="240" w:before="0" w:after="120"/>
      <w:ind w:right="3024" w:hanging="0"/>
      <w:textAlignment w:val="baseline"/>
    </w:pPr>
    <w:rPr>
      <w:rFonts w:ascii="Times" w:hAnsi="Times" w:cs="Times"/>
      <w:i/>
      <w:iCs/>
      <w:sz w:val="20"/>
      <w:szCs w:val="20"/>
      <w:lang w:val="en-US" w:eastAsia="pt-BR"/>
    </w:rPr>
  </w:style>
  <w:style w:type="paragraph" w:styleId="TAMainText" w:customStyle="1">
    <w:name w:val="TA_Main_Text"/>
    <w:basedOn w:val="Normal"/>
    <w:qFormat/>
    <w:rsid w:val="00cf4fa3"/>
    <w:pPr>
      <w:suppressAutoHyphens w:val="false"/>
      <w:overflowPunct w:val="false"/>
      <w:spacing w:lineRule="exact" w:line="240" w:before="0" w:after="0"/>
      <w:ind w:firstLine="202"/>
      <w:jc w:val="both"/>
      <w:textAlignment w:val="baseline"/>
    </w:pPr>
    <w:rPr>
      <w:rFonts w:ascii="Times" w:hAnsi="Times" w:cs="Times"/>
      <w:sz w:val="20"/>
      <w:szCs w:val="20"/>
      <w:lang w:val="en-US" w:eastAsia="pt-BR"/>
    </w:rPr>
  </w:style>
  <w:style w:type="paragraph" w:styleId="SemEspaamento1" w:customStyle="1">
    <w:name w:val="Sem Espaçamento1"/>
    <w:qFormat/>
    <w:rsid w:val="00cf4fa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A"/>
      <w:sz w:val="22"/>
      <w:szCs w:val="22"/>
      <w:lang w:val="pt-BR" w:eastAsia="zh-CN" w:bidi="ar-SA"/>
    </w:rPr>
  </w:style>
  <w:style w:type="paragraph" w:styleId="Pa10" w:customStyle="1">
    <w:name w:val="Pa10"/>
    <w:basedOn w:val="Normal"/>
    <w:next w:val="Normal"/>
    <w:uiPriority w:val="99"/>
    <w:qFormat/>
    <w:rsid w:val="00cf4fa3"/>
    <w:pPr>
      <w:suppressAutoHyphens w:val="false"/>
      <w:spacing w:lineRule="atLeast" w:line="241" w:before="120" w:after="0"/>
    </w:pPr>
    <w:rPr>
      <w:rFonts w:ascii="Calibri" w:hAnsi="Calibri" w:eastAsia="Calibri"/>
      <w:lang w:eastAsia="zh-CN"/>
    </w:rPr>
  </w:style>
  <w:style w:type="paragraph" w:styleId="Default" w:customStyle="1">
    <w:name w:val="Default"/>
    <w:qFormat/>
    <w:rsid w:val="00cf4fa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Standard" w:customStyle="1">
    <w:name w:val="Standard"/>
    <w:qFormat/>
    <w:rsid w:val="00306fa5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sz w:val="22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1andrieliferrari10@gmail.com" TargetMode="External"/><Relationship Id="rId3" Type="http://schemas.openxmlformats.org/officeDocument/2006/relationships/hyperlink" Target="mailto:angelicacoutocorrea@gmail.com" TargetMode="External"/><Relationship Id="rId4" Type="http://schemas.openxmlformats.org/officeDocument/2006/relationships/hyperlink" Target="mailto:ceciliahoffayagro@gmail.com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LibreOffice/5.1.1.3$Windows_x86 LibreOffice_project/89f508ef3ecebd2cfb8e1def0f0ba9a803b88a6d</Application>
  <Pages>4</Pages>
  <Words>1808</Words>
  <Characters>10076</Characters>
  <CharactersWithSpaces>11868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2017-08-01T10:47:00Z</dcterms:created>
  <dc:creator/>
  <dc:description/>
  <dc:language>pt-BR</dc:language>
  <cp:lastModifiedBy/>
  <dcterms:modified xsi:type="dcterms:W3CDTF">2018-06-30T10:46:53Z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1046-10.1.0.5707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